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B1387" w:rsidP="00DA0FB0">
            <w:pPr>
              <w:rPr>
                <w:b/>
              </w:rPr>
            </w:pPr>
            <w:r>
              <w:rPr>
                <w:rStyle w:val="Firstpagetablebold"/>
              </w:rPr>
              <w:t>13 February</w:t>
            </w:r>
            <w:r w:rsidR="00ED1E2A">
              <w:rPr>
                <w:rStyle w:val="Firstpagetablebold"/>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D1E2A" w:rsidP="004A6D2F">
            <w:pPr>
              <w:rPr>
                <w:rStyle w:val="Firstpagetablebold"/>
              </w:rPr>
            </w:pPr>
            <w:r>
              <w:rPr>
                <w:rStyle w:val="Firstpagetablebold"/>
              </w:rPr>
              <w:t>Nigel Kennedy, 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D1E2A" w:rsidP="004A6D2F">
            <w:pPr>
              <w:rPr>
                <w:rStyle w:val="Firstpagetablebold"/>
              </w:rPr>
            </w:pPr>
            <w:r>
              <w:rPr>
                <w:rStyle w:val="Firstpagetablebold"/>
              </w:rPr>
              <w:t>National Non-Domestic Rates Discretionary Relief Policy 2018-2022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ED1E2A" w:rsidRDefault="00ED1E2A" w:rsidP="00ED1E2A">
            <w:pPr>
              <w:autoSpaceDE w:val="0"/>
              <w:autoSpaceDN w:val="0"/>
              <w:adjustRightInd w:val="0"/>
              <w:spacing w:after="0"/>
              <w:rPr>
                <w:rFonts w:ascii="TT7927o00" w:hAnsi="TT7927o00" w:cs="TT7927o00"/>
                <w:color w:val="auto"/>
              </w:rPr>
            </w:pPr>
            <w:r>
              <w:rPr>
                <w:rFonts w:ascii="TT7927o00" w:hAnsi="TT7927o00" w:cs="TT7927o00"/>
                <w:color w:val="auto"/>
              </w:rPr>
              <w:t>To agree an updated National Non-Domestic Rates</w:t>
            </w:r>
          </w:p>
          <w:p w:rsidR="00D5547E" w:rsidRPr="001356F1" w:rsidRDefault="00ED1E2A" w:rsidP="00ED1E2A">
            <w:r>
              <w:rPr>
                <w:rFonts w:ascii="TT7927o00" w:hAnsi="TT7927o00" w:cs="TT7927o00"/>
                <w:color w:val="auto"/>
              </w:rPr>
              <w:t>Discretionary Relief policy.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ED1E2A">
            <w:r w:rsidRPr="001356F1">
              <w:t xml:space="preserve">Councillor </w:t>
            </w:r>
            <w:r w:rsidR="00ED1E2A">
              <w:t>Susan Brown</w:t>
            </w:r>
            <w:r w:rsidRPr="001356F1">
              <w:t xml:space="preserve">, </w:t>
            </w:r>
            <w:r w:rsidR="00ED1E2A">
              <w:t>Corporate and Customer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F1D22" w:rsidP="005F7F7E">
            <w:r>
              <w:t>An efficient and effective council</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642676" w:rsidRPr="00642676" w:rsidRDefault="00D614C2" w:rsidP="00D614C2">
            <w:pPr>
              <w:rPr>
                <w:rFonts w:ascii="TT7927o00" w:hAnsi="TT7927o00" w:cs="TT7927o00"/>
                <w:color w:val="auto"/>
              </w:rPr>
            </w:pPr>
            <w:r>
              <w:rPr>
                <w:rFonts w:ascii="TT7927o00" w:hAnsi="TT7927o00" w:cs="TT7927o00"/>
                <w:color w:val="auto"/>
              </w:rPr>
              <w:t>A</w:t>
            </w:r>
            <w:r w:rsidR="00ED1E2A">
              <w:rPr>
                <w:rFonts w:ascii="TT7927o00" w:hAnsi="TT7927o00" w:cs="TT7927o00"/>
                <w:color w:val="auto"/>
              </w:rPr>
              <w:t>pprove the updated</w:t>
            </w:r>
            <w:r w:rsidR="00B54A9B">
              <w:rPr>
                <w:rFonts w:ascii="TT7927o00" w:hAnsi="TT7927o00" w:cs="TT7927o00"/>
                <w:color w:val="auto"/>
              </w:rPr>
              <w:t xml:space="preserve"> </w:t>
            </w:r>
            <w:r w:rsidR="00ED1E2A">
              <w:rPr>
                <w:rFonts w:ascii="TT7927o00" w:hAnsi="TT7927o00" w:cs="TT7927o00"/>
                <w:color w:val="auto"/>
              </w:rPr>
              <w:t xml:space="preserve">National Non-Domestic Rates (NNDR) Discretionary Rate Relief policy </w:t>
            </w:r>
            <w:r>
              <w:rPr>
                <w:rFonts w:ascii="TT7927o00" w:hAnsi="TT7927o00" w:cs="TT7927o00"/>
                <w:color w:val="auto"/>
              </w:rPr>
              <w:t>as attached at Appendix 1 and;</w:t>
            </w:r>
          </w:p>
        </w:tc>
      </w:tr>
      <w:tr w:rsidR="00642676" w:rsidRPr="00975B07" w:rsidTr="00A46E98">
        <w:trPr>
          <w:trHeight w:val="283"/>
        </w:trPr>
        <w:tc>
          <w:tcPr>
            <w:tcW w:w="426" w:type="dxa"/>
            <w:tcBorders>
              <w:top w:val="single" w:sz="8" w:space="0" w:color="000000"/>
              <w:left w:val="single" w:sz="8" w:space="0" w:color="000000"/>
              <w:bottom w:val="nil"/>
              <w:right w:val="nil"/>
            </w:tcBorders>
          </w:tcPr>
          <w:p w:rsidR="00642676" w:rsidRPr="00975B07" w:rsidRDefault="00642676" w:rsidP="004A6D2F">
            <w:r>
              <w:t>2.</w:t>
            </w:r>
          </w:p>
        </w:tc>
        <w:tc>
          <w:tcPr>
            <w:tcW w:w="8419" w:type="dxa"/>
            <w:gridSpan w:val="2"/>
            <w:tcBorders>
              <w:top w:val="single" w:sz="8" w:space="0" w:color="000000"/>
              <w:left w:val="nil"/>
              <w:bottom w:val="nil"/>
              <w:right w:val="single" w:sz="8" w:space="0" w:color="000000"/>
            </w:tcBorders>
            <w:shd w:val="clear" w:color="auto" w:fill="auto"/>
          </w:tcPr>
          <w:p w:rsidR="00642676" w:rsidRDefault="00642676" w:rsidP="00ED1E2A">
            <w:pPr>
              <w:autoSpaceDE w:val="0"/>
              <w:autoSpaceDN w:val="0"/>
              <w:adjustRightInd w:val="0"/>
              <w:spacing w:after="0"/>
              <w:rPr>
                <w:rFonts w:ascii="TT7927o00" w:hAnsi="TT7927o00" w:cs="TT7927o00"/>
                <w:color w:val="auto"/>
              </w:rPr>
            </w:pPr>
            <w:r>
              <w:rPr>
                <w:rFonts w:ascii="TT7927o00" w:hAnsi="TT7927o00" w:cs="TT7927o00"/>
                <w:color w:val="auto"/>
              </w:rPr>
              <w:t xml:space="preserve">Agree to grant 100% discretionary relief for Public toilets from 1/4/18 if the bar is lifted on giving </w:t>
            </w:r>
            <w:r w:rsidR="00AF02D6">
              <w:rPr>
                <w:rFonts w:ascii="TT7927o00" w:hAnsi="TT7927o00" w:cs="TT7927o00"/>
                <w:color w:val="auto"/>
              </w:rPr>
              <w:t xml:space="preserve">rate </w:t>
            </w:r>
            <w:r>
              <w:rPr>
                <w:rFonts w:ascii="TT7927o00" w:hAnsi="TT7927o00" w:cs="TT7927o00"/>
                <w:color w:val="auto"/>
              </w:rPr>
              <w:t>relief to local authorities</w:t>
            </w:r>
            <w:r w:rsidR="00AF02D6">
              <w:rPr>
                <w:rFonts w:ascii="TT7927o00" w:hAnsi="TT7927o00" w:cs="TT7927o00"/>
                <w:color w:val="auto"/>
              </w:rPr>
              <w:t xml:space="preserve"> by then</w:t>
            </w:r>
          </w:p>
        </w:tc>
      </w:tr>
      <w:tr w:rsidR="00966D42" w:rsidRPr="00975B07" w:rsidTr="007F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ED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ED5860" w:rsidRPr="00ED1E2A" w:rsidRDefault="00ED1E2A" w:rsidP="00ED1E2A">
            <w:pPr>
              <w:autoSpaceDE w:val="0"/>
              <w:autoSpaceDN w:val="0"/>
              <w:adjustRightInd w:val="0"/>
              <w:spacing w:after="0"/>
              <w:rPr>
                <w:rFonts w:ascii="TT7927o00" w:hAnsi="TT7927o00" w:cs="TT7927o00"/>
                <w:color w:val="auto"/>
              </w:rPr>
            </w:pPr>
            <w:r>
              <w:rPr>
                <w:rFonts w:ascii="TT7927o00" w:hAnsi="TT7927o00" w:cs="TT7927o00"/>
                <w:color w:val="auto"/>
              </w:rPr>
              <w:t>Proposed NNDR Discretionary Rate Relief Policy 2018-2022</w:t>
            </w:r>
          </w:p>
        </w:tc>
      </w:tr>
      <w:tr w:rsidR="00ED5860" w:rsidRPr="00975B07" w:rsidTr="00ED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cBorders>
          </w:tcPr>
          <w:p w:rsidR="00ED5860" w:rsidRPr="001356F1" w:rsidRDefault="00ED1E2A" w:rsidP="00635D75">
            <w:r>
              <w:rPr>
                <w:rFonts w:ascii="TT7927o00" w:hAnsi="TT7927o00" w:cs="TT7927o00"/>
                <w:color w:val="auto"/>
              </w:rPr>
              <w:t xml:space="preserve">Value of Reliefs granted </w:t>
            </w:r>
            <w:r w:rsidRPr="00642676">
              <w:rPr>
                <w:rFonts w:ascii="TT7927o00" w:hAnsi="TT7927o00" w:cs="TT7927o00"/>
                <w:color w:val="auto"/>
              </w:rPr>
              <w:t xml:space="preserve">at </w:t>
            </w:r>
            <w:r w:rsidR="00635D75" w:rsidRPr="00642676">
              <w:rPr>
                <w:rFonts w:ascii="TT7927o00" w:hAnsi="TT7927o00" w:cs="TT7927o00"/>
                <w:color w:val="auto"/>
              </w:rPr>
              <w:t>March 2017</w:t>
            </w:r>
          </w:p>
        </w:tc>
      </w:tr>
      <w:tr w:rsidR="0030208D" w:rsidRPr="00975B07" w:rsidTr="007F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407" w:type="dxa"/>
            <w:tcBorders>
              <w:top w:val="nil"/>
              <w:left w:val="nil"/>
              <w:bottom w:val="single" w:sz="4" w:space="0" w:color="auto"/>
              <w:right w:val="single" w:sz="8" w:space="0" w:color="000000"/>
            </w:tcBorders>
          </w:tcPr>
          <w:p w:rsidR="0030208D" w:rsidRPr="001356F1" w:rsidRDefault="00ED1E2A" w:rsidP="004A6D2F">
            <w:r>
              <w:rPr>
                <w:rFonts w:ascii="TT7927o00" w:hAnsi="TT7927o00" w:cs="TT7927o00"/>
                <w:color w:val="auto"/>
              </w:rPr>
              <w:t>Risk register</w:t>
            </w:r>
            <w:r w:rsidRPr="001356F1">
              <w:t xml:space="preserve"> </w:t>
            </w:r>
          </w:p>
        </w:tc>
      </w:tr>
    </w:tbl>
    <w:p w:rsidR="0040736F" w:rsidRPr="001356F1" w:rsidRDefault="00635D75" w:rsidP="00635D75">
      <w:pPr>
        <w:pStyle w:val="Heading1"/>
      </w:pPr>
      <w:r>
        <w:t>B</w:t>
      </w:r>
      <w:r w:rsidR="00151888" w:rsidRPr="001356F1">
        <w:t>ackground</w:t>
      </w:r>
      <w:r w:rsidR="00404032" w:rsidRPr="001356F1">
        <w:t xml:space="preserve"> </w:t>
      </w:r>
    </w:p>
    <w:p w:rsidR="001F09E1" w:rsidRPr="003F6780" w:rsidRDefault="001F09E1" w:rsidP="00DA0FB0">
      <w:pPr>
        <w:numPr>
          <w:ilvl w:val="0"/>
          <w:numId w:val="34"/>
        </w:numPr>
        <w:ind w:left="567" w:hanging="567"/>
        <w:rPr>
          <w:color w:val="auto"/>
        </w:rPr>
      </w:pPr>
      <w:r w:rsidRPr="00E929C9">
        <w:rPr>
          <w:rFonts w:cs="Arial"/>
        </w:rPr>
        <w:t xml:space="preserve">A Billing Authority should have a readily understood policy for deciding whether or not to grant Discretionary Rate Relief, and for determining the amount of Relief. </w:t>
      </w:r>
      <w:r w:rsidRPr="00E929C9">
        <w:rPr>
          <w:color w:val="auto"/>
        </w:rPr>
        <w:t xml:space="preserve"> </w:t>
      </w:r>
    </w:p>
    <w:p w:rsidR="00C95DEF" w:rsidRPr="00EB1387" w:rsidRDefault="001F09E1" w:rsidP="00DA0FB0">
      <w:pPr>
        <w:numPr>
          <w:ilvl w:val="0"/>
          <w:numId w:val="34"/>
        </w:numPr>
        <w:ind w:left="567" w:hanging="567"/>
        <w:rPr>
          <w:color w:val="auto"/>
        </w:rPr>
      </w:pPr>
      <w:r w:rsidRPr="00EB1387">
        <w:rPr>
          <w:color w:val="auto"/>
        </w:rPr>
        <w:t>There have been a number of ch</w:t>
      </w:r>
      <w:r w:rsidR="00635D75" w:rsidRPr="00EB1387">
        <w:rPr>
          <w:color w:val="auto"/>
        </w:rPr>
        <w:t xml:space="preserve">anges to Rate Reliefs </w:t>
      </w:r>
      <w:r w:rsidR="00D614C2" w:rsidRPr="00EB1387">
        <w:rPr>
          <w:color w:val="auto"/>
        </w:rPr>
        <w:t xml:space="preserve">which the Council has implemented </w:t>
      </w:r>
      <w:r w:rsidR="00635D75" w:rsidRPr="00EB1387">
        <w:rPr>
          <w:color w:val="auto"/>
        </w:rPr>
        <w:t>since 2015 (when the last policy revision took place)</w:t>
      </w:r>
      <w:r w:rsidR="002E392A" w:rsidRPr="00EB1387">
        <w:rPr>
          <w:color w:val="auto"/>
        </w:rPr>
        <w:t>.  Th</w:t>
      </w:r>
      <w:r w:rsidR="00D614C2" w:rsidRPr="00EB1387">
        <w:rPr>
          <w:color w:val="auto"/>
        </w:rPr>
        <w:t>e</w:t>
      </w:r>
      <w:r w:rsidR="002E392A" w:rsidRPr="00EB1387">
        <w:rPr>
          <w:color w:val="auto"/>
        </w:rPr>
        <w:t xml:space="preserve"> r</w:t>
      </w:r>
      <w:r w:rsidRPr="00EB1387">
        <w:rPr>
          <w:color w:val="auto"/>
        </w:rPr>
        <w:t>evised policy</w:t>
      </w:r>
      <w:r w:rsidR="00D614C2" w:rsidRPr="00EB1387">
        <w:rPr>
          <w:color w:val="auto"/>
        </w:rPr>
        <w:t xml:space="preserve">; attached at Appendix 1; </w:t>
      </w:r>
      <w:r w:rsidRPr="00EB1387">
        <w:rPr>
          <w:color w:val="auto"/>
        </w:rPr>
        <w:t>reflects these changes which include</w:t>
      </w:r>
      <w:r w:rsidR="00D614C2" w:rsidRPr="00EB1387">
        <w:rPr>
          <w:color w:val="auto"/>
        </w:rPr>
        <w:t>:</w:t>
      </w:r>
      <w:r w:rsidRPr="00EB1387">
        <w:rPr>
          <w:color w:val="auto"/>
        </w:rPr>
        <w:t xml:space="preserve"> </w:t>
      </w:r>
      <w:r w:rsidR="00635D75" w:rsidRPr="00EB1387">
        <w:rPr>
          <w:color w:val="auto"/>
        </w:rPr>
        <w:t xml:space="preserve">removing </w:t>
      </w:r>
      <w:r w:rsidRPr="00EB1387">
        <w:rPr>
          <w:color w:val="auto"/>
        </w:rPr>
        <w:t xml:space="preserve">Retail Relief, Long Term Empty Property Relief, New Build Empty Properties </w:t>
      </w:r>
      <w:r w:rsidR="00C95DEF" w:rsidRPr="00EB1387">
        <w:rPr>
          <w:color w:val="auto"/>
        </w:rPr>
        <w:t>and Flooding Relief as these were</w:t>
      </w:r>
      <w:r w:rsidR="00635D75" w:rsidRPr="00EB1387">
        <w:rPr>
          <w:color w:val="auto"/>
        </w:rPr>
        <w:t xml:space="preserve"> time limited</w:t>
      </w:r>
      <w:r w:rsidR="00EB1387" w:rsidRPr="00EB1387">
        <w:rPr>
          <w:color w:val="auto"/>
        </w:rPr>
        <w:t xml:space="preserve"> and covered by the previous policy</w:t>
      </w:r>
      <w:r w:rsidR="00635D75" w:rsidRPr="00EB1387">
        <w:rPr>
          <w:color w:val="auto"/>
        </w:rPr>
        <w:t xml:space="preserve">, </w:t>
      </w:r>
      <w:r w:rsidRPr="00EB1387">
        <w:rPr>
          <w:color w:val="auto"/>
        </w:rPr>
        <w:t>an</w:t>
      </w:r>
      <w:r w:rsidR="00635D75" w:rsidRPr="00EB1387">
        <w:rPr>
          <w:color w:val="auto"/>
        </w:rPr>
        <w:t>d adding in Relief for Public Toilets and Local Newspapers</w:t>
      </w:r>
      <w:r w:rsidR="00035C05" w:rsidRPr="00EB1387">
        <w:rPr>
          <w:color w:val="auto"/>
        </w:rPr>
        <w:t xml:space="preserve"> </w:t>
      </w:r>
      <w:r w:rsidR="00642676" w:rsidRPr="00EB1387">
        <w:rPr>
          <w:color w:val="auto"/>
        </w:rPr>
        <w:t>(the latter time limited to 2 years).</w:t>
      </w:r>
    </w:p>
    <w:p w:rsidR="00035C05" w:rsidRPr="00EB1387" w:rsidRDefault="00C95DEF" w:rsidP="00DA0FB0">
      <w:pPr>
        <w:numPr>
          <w:ilvl w:val="0"/>
          <w:numId w:val="34"/>
        </w:numPr>
        <w:ind w:left="567" w:hanging="567"/>
        <w:rPr>
          <w:color w:val="auto"/>
        </w:rPr>
      </w:pPr>
      <w:r w:rsidRPr="00035C05">
        <w:rPr>
          <w:color w:val="auto"/>
        </w:rPr>
        <w:lastRenderedPageBreak/>
        <w:t>The</w:t>
      </w:r>
      <w:r w:rsidR="0073052B">
        <w:rPr>
          <w:color w:val="auto"/>
        </w:rPr>
        <w:t xml:space="preserve"> Council has </w:t>
      </w:r>
      <w:r w:rsidRPr="00035C05">
        <w:rPr>
          <w:color w:val="auto"/>
        </w:rPr>
        <w:t xml:space="preserve">a separate Revaluation Discretionary Rate Relief </w:t>
      </w:r>
      <w:r w:rsidR="0073052B">
        <w:rPr>
          <w:color w:val="auto"/>
        </w:rPr>
        <w:t>P</w:t>
      </w:r>
      <w:r w:rsidRPr="00035C05">
        <w:rPr>
          <w:color w:val="auto"/>
        </w:rPr>
        <w:t xml:space="preserve">olicy </w:t>
      </w:r>
      <w:r w:rsidR="00035C05" w:rsidRPr="00035C05">
        <w:rPr>
          <w:color w:val="auto"/>
        </w:rPr>
        <w:t xml:space="preserve">approved </w:t>
      </w:r>
      <w:r w:rsidR="0073052B">
        <w:rPr>
          <w:color w:val="auto"/>
        </w:rPr>
        <w:t xml:space="preserve">by the </w:t>
      </w:r>
      <w:r w:rsidR="00035C05" w:rsidRPr="00035C05">
        <w:rPr>
          <w:color w:val="auto"/>
        </w:rPr>
        <w:t xml:space="preserve">City Executive Board on 15th August 2017 </w:t>
      </w:r>
      <w:r w:rsidRPr="00035C05">
        <w:rPr>
          <w:color w:val="auto"/>
        </w:rPr>
        <w:t xml:space="preserve">which covers </w:t>
      </w:r>
      <w:r w:rsidR="00642676" w:rsidRPr="00035C05">
        <w:rPr>
          <w:color w:val="auto"/>
        </w:rPr>
        <w:t xml:space="preserve">Small Business Relief, Public House Relief and Revaluation Discretionary </w:t>
      </w:r>
      <w:r w:rsidR="00D47184" w:rsidRPr="00035C05">
        <w:rPr>
          <w:color w:val="auto"/>
        </w:rPr>
        <w:t xml:space="preserve">Relief. </w:t>
      </w:r>
      <w:r w:rsidR="00035C05" w:rsidRPr="00035C05">
        <w:rPr>
          <w:rFonts w:ascii="ArialMT" w:hAnsi="ArialMT" w:cs="ArialMT"/>
          <w:color w:val="auto"/>
        </w:rPr>
        <w:t>The</w:t>
      </w:r>
      <w:r w:rsidR="0073052B">
        <w:rPr>
          <w:rFonts w:ascii="ArialMT" w:hAnsi="ArialMT" w:cs="ArialMT"/>
          <w:color w:val="auto"/>
        </w:rPr>
        <w:t xml:space="preserve"> purpose of this policy and the associated </w:t>
      </w:r>
      <w:r w:rsidR="00035C05" w:rsidRPr="00035C05">
        <w:rPr>
          <w:rFonts w:ascii="ArialMT" w:hAnsi="ArialMT" w:cs="ArialMT"/>
          <w:color w:val="auto"/>
        </w:rPr>
        <w:t>scheme</w:t>
      </w:r>
      <w:r w:rsidR="00035C05">
        <w:rPr>
          <w:rFonts w:ascii="ArialMT" w:hAnsi="ArialMT" w:cs="ArialMT"/>
          <w:color w:val="auto"/>
        </w:rPr>
        <w:t xml:space="preserve">s </w:t>
      </w:r>
      <w:r w:rsidR="0073052B">
        <w:rPr>
          <w:rFonts w:ascii="ArialMT" w:hAnsi="ArialMT" w:cs="ArialMT"/>
          <w:color w:val="auto"/>
        </w:rPr>
        <w:t xml:space="preserve">is to </w:t>
      </w:r>
      <w:r w:rsidR="00035C05">
        <w:rPr>
          <w:rFonts w:ascii="ArialMT" w:hAnsi="ArialMT" w:cs="ArialMT"/>
          <w:color w:val="auto"/>
        </w:rPr>
        <w:t>create</w:t>
      </w:r>
      <w:r w:rsidR="00035C05" w:rsidRPr="00035C05">
        <w:rPr>
          <w:rFonts w:ascii="ArialMT" w:hAnsi="ArialMT" w:cs="ArialMT"/>
          <w:color w:val="auto"/>
        </w:rPr>
        <w:t xml:space="preserve"> a transition</w:t>
      </w:r>
      <w:r w:rsidR="00261E12">
        <w:rPr>
          <w:rFonts w:ascii="ArialMT" w:hAnsi="ArialMT" w:cs="ArialMT"/>
          <w:color w:val="auto"/>
        </w:rPr>
        <w:t>ary</w:t>
      </w:r>
      <w:r w:rsidR="00035C05" w:rsidRPr="00035C05">
        <w:rPr>
          <w:rFonts w:ascii="ArialMT" w:hAnsi="ArialMT" w:cs="ArialMT"/>
          <w:color w:val="auto"/>
        </w:rPr>
        <w:t xml:space="preserve"> period to ease the </w:t>
      </w:r>
      <w:r w:rsidR="00261E12">
        <w:rPr>
          <w:rFonts w:ascii="ArialMT" w:hAnsi="ArialMT" w:cs="ArialMT"/>
          <w:color w:val="auto"/>
        </w:rPr>
        <w:t xml:space="preserve">burden of </w:t>
      </w:r>
      <w:r w:rsidR="00035C05" w:rsidRPr="00035C05">
        <w:rPr>
          <w:rFonts w:ascii="ArialMT" w:hAnsi="ArialMT" w:cs="ArialMT"/>
          <w:color w:val="auto"/>
        </w:rPr>
        <w:t>rate rise</w:t>
      </w:r>
      <w:r w:rsidR="00261E12">
        <w:rPr>
          <w:rFonts w:ascii="ArialMT" w:hAnsi="ArialMT" w:cs="ArialMT"/>
          <w:color w:val="auto"/>
        </w:rPr>
        <w:t>s on</w:t>
      </w:r>
      <w:r w:rsidR="00261E12">
        <w:rPr>
          <w:color w:val="auto"/>
        </w:rPr>
        <w:t xml:space="preserve"> </w:t>
      </w:r>
      <w:r w:rsidR="00035C05">
        <w:rPr>
          <w:rFonts w:ascii="ArialMT" w:hAnsi="ArialMT" w:cs="ArialMT"/>
          <w:color w:val="auto"/>
        </w:rPr>
        <w:t>businesses over the next 2</w:t>
      </w:r>
      <w:r w:rsidR="00035C05" w:rsidRPr="00035C05">
        <w:rPr>
          <w:rFonts w:ascii="ArialMT" w:hAnsi="ArialMT" w:cs="ArialMT"/>
          <w:color w:val="auto"/>
        </w:rPr>
        <w:t xml:space="preserve"> -4 years. </w:t>
      </w:r>
      <w:r w:rsidR="00EB1387">
        <w:rPr>
          <w:rFonts w:ascii="ArialMT" w:hAnsi="ArialMT" w:cs="ArialMT"/>
          <w:color w:val="auto"/>
        </w:rPr>
        <w:t>(</w:t>
      </w:r>
      <w:r w:rsidR="00EB1387" w:rsidRPr="00EB1387">
        <w:rPr>
          <w:rFonts w:ascii="ArialMT" w:hAnsi="ArialMT" w:cs="ArialMT"/>
          <w:color w:val="auto"/>
        </w:rPr>
        <w:t>Due to the low take up of the</w:t>
      </w:r>
      <w:r w:rsidR="00EB1387">
        <w:rPr>
          <w:rFonts w:ascii="ArialMT" w:hAnsi="ArialMT" w:cs="ArialMT"/>
          <w:color w:val="auto"/>
        </w:rPr>
        <w:t xml:space="preserve"> Revaluation Discretionary Relief </w:t>
      </w:r>
      <w:r w:rsidR="00EB1387">
        <w:t>the Head of Finance, having reviewed the scheme is now looking to award the grant in accordance with the agreed criteria without the need for an application but still subject to State Aid rules).</w:t>
      </w:r>
      <w:r w:rsidR="00EB1387">
        <w:rPr>
          <w:rFonts w:ascii="ArialMT" w:hAnsi="ArialMT" w:cs="ArialMT"/>
          <w:color w:val="auto"/>
        </w:rPr>
        <w:t xml:space="preserve"> </w:t>
      </w:r>
      <w:r w:rsidR="00EB1387" w:rsidRPr="00EB1387">
        <w:rPr>
          <w:rFonts w:ascii="ArialMT" w:hAnsi="ArialMT" w:cs="ArialMT"/>
          <w:color w:val="auto"/>
        </w:rPr>
        <w:t xml:space="preserve"> </w:t>
      </w:r>
    </w:p>
    <w:p w:rsidR="00635D75" w:rsidRPr="00E929C9" w:rsidRDefault="00642676" w:rsidP="00DA0FB0">
      <w:pPr>
        <w:shd w:val="clear" w:color="auto" w:fill="FFFFFF"/>
        <w:spacing w:before="100" w:beforeAutospacing="1"/>
        <w:rPr>
          <w:rFonts w:cs="Arial"/>
          <w:b/>
        </w:rPr>
      </w:pPr>
      <w:r>
        <w:rPr>
          <w:rFonts w:cs="Arial"/>
          <w:b/>
        </w:rPr>
        <w:t>Purpose of Discretionary Relief</w:t>
      </w:r>
    </w:p>
    <w:p w:rsidR="00642676" w:rsidRDefault="00635D75" w:rsidP="00DA0FB0">
      <w:pPr>
        <w:numPr>
          <w:ilvl w:val="0"/>
          <w:numId w:val="34"/>
        </w:numPr>
        <w:shd w:val="clear" w:color="auto" w:fill="FFFFFF"/>
        <w:ind w:left="567" w:hanging="567"/>
        <w:rPr>
          <w:rFonts w:cs="Arial"/>
        </w:rPr>
      </w:pPr>
      <w:r w:rsidRPr="00E929C9">
        <w:rPr>
          <w:rFonts w:cs="Arial"/>
        </w:rPr>
        <w:t xml:space="preserve">The main purpose of Discretionary Relief is to </w:t>
      </w:r>
      <w:r w:rsidR="00642676">
        <w:rPr>
          <w:rFonts w:cs="Arial"/>
        </w:rPr>
        <w:t>achieve specific policy outcomes such as:</w:t>
      </w:r>
    </w:p>
    <w:p w:rsidR="00B54101" w:rsidRDefault="00B54101" w:rsidP="00DA0FB0">
      <w:pPr>
        <w:numPr>
          <w:ilvl w:val="0"/>
          <w:numId w:val="36"/>
        </w:numPr>
        <w:shd w:val="clear" w:color="auto" w:fill="FFFFFF"/>
        <w:spacing w:before="120" w:after="100" w:afterAutospacing="1"/>
        <w:ind w:left="851" w:hanging="284"/>
        <w:rPr>
          <w:rFonts w:cs="Arial"/>
        </w:rPr>
      </w:pPr>
      <w:r>
        <w:rPr>
          <w:rFonts w:cs="Arial"/>
        </w:rPr>
        <w:t>Reducing costs to charities</w:t>
      </w:r>
    </w:p>
    <w:p w:rsidR="00B54101" w:rsidRDefault="00B54101" w:rsidP="00DA0FB0">
      <w:pPr>
        <w:numPr>
          <w:ilvl w:val="0"/>
          <w:numId w:val="36"/>
        </w:numPr>
        <w:shd w:val="clear" w:color="auto" w:fill="FFFFFF"/>
        <w:spacing w:before="100" w:beforeAutospacing="1" w:after="100" w:afterAutospacing="1"/>
        <w:ind w:left="851" w:hanging="284"/>
        <w:rPr>
          <w:rFonts w:cs="Arial"/>
        </w:rPr>
      </w:pPr>
      <w:r>
        <w:rPr>
          <w:rFonts w:cs="Arial"/>
        </w:rPr>
        <w:t xml:space="preserve">Supporting </w:t>
      </w:r>
      <w:r w:rsidR="00F948DC">
        <w:rPr>
          <w:rFonts w:cs="Arial"/>
        </w:rPr>
        <w:t>certain</w:t>
      </w:r>
      <w:r>
        <w:rPr>
          <w:rFonts w:cs="Arial"/>
        </w:rPr>
        <w:t xml:space="preserve"> sector</w:t>
      </w:r>
      <w:r w:rsidR="00F948DC">
        <w:rPr>
          <w:rFonts w:cs="Arial"/>
        </w:rPr>
        <w:t>s</w:t>
      </w:r>
    </w:p>
    <w:p w:rsidR="00B54101" w:rsidRDefault="00B54101" w:rsidP="00DA0FB0">
      <w:pPr>
        <w:numPr>
          <w:ilvl w:val="0"/>
          <w:numId w:val="36"/>
        </w:numPr>
        <w:shd w:val="clear" w:color="auto" w:fill="FFFFFF"/>
        <w:spacing w:before="100" w:beforeAutospacing="1" w:after="100" w:afterAutospacing="1"/>
        <w:ind w:left="851" w:hanging="284"/>
        <w:rPr>
          <w:rFonts w:cs="Arial"/>
        </w:rPr>
      </w:pPr>
      <w:r>
        <w:rPr>
          <w:rFonts w:cs="Arial"/>
        </w:rPr>
        <w:t>Removing costs associated with development</w:t>
      </w:r>
    </w:p>
    <w:p w:rsidR="00B1382E" w:rsidRDefault="00B54101" w:rsidP="00DA0FB0">
      <w:pPr>
        <w:numPr>
          <w:ilvl w:val="0"/>
          <w:numId w:val="36"/>
        </w:numPr>
        <w:shd w:val="clear" w:color="auto" w:fill="FFFFFF"/>
        <w:spacing w:before="100" w:beforeAutospacing="1" w:after="100" w:afterAutospacing="1"/>
        <w:ind w:left="851" w:hanging="284"/>
        <w:rPr>
          <w:rFonts w:cs="Arial"/>
        </w:rPr>
      </w:pPr>
      <w:r>
        <w:rPr>
          <w:rFonts w:cs="Arial"/>
        </w:rPr>
        <w:t>Keeping services local</w:t>
      </w:r>
    </w:p>
    <w:p w:rsidR="003F6780" w:rsidRPr="003F6780" w:rsidRDefault="00B1382E" w:rsidP="00DA0FB0">
      <w:pPr>
        <w:numPr>
          <w:ilvl w:val="0"/>
          <w:numId w:val="36"/>
        </w:numPr>
        <w:shd w:val="clear" w:color="auto" w:fill="FFFFFF"/>
        <w:spacing w:before="100" w:beforeAutospacing="1" w:after="100" w:afterAutospacing="1"/>
        <w:ind w:left="851" w:hanging="284"/>
        <w:rPr>
          <w:rFonts w:cs="Arial"/>
        </w:rPr>
      </w:pPr>
      <w:r>
        <w:rPr>
          <w:rFonts w:cs="Arial"/>
        </w:rPr>
        <w:t>R</w:t>
      </w:r>
      <w:r>
        <w:rPr>
          <w:rFonts w:eastAsia="Arial" w:cs="Arial"/>
          <w:spacing w:val="1"/>
        </w:rPr>
        <w:t>e</w:t>
      </w:r>
      <w:r>
        <w:rPr>
          <w:rFonts w:eastAsia="Arial" w:cs="Arial"/>
          <w:spacing w:val="-1"/>
        </w:rPr>
        <w:t>g</w:t>
      </w:r>
      <w:r>
        <w:rPr>
          <w:rFonts w:eastAsia="Arial" w:cs="Arial"/>
          <w:spacing w:val="1"/>
        </w:rPr>
        <w:t>e</w:t>
      </w:r>
      <w:r>
        <w:rPr>
          <w:rFonts w:eastAsia="Arial" w:cs="Arial"/>
          <w:spacing w:val="-1"/>
        </w:rPr>
        <w:t>n</w:t>
      </w:r>
      <w:r>
        <w:rPr>
          <w:rFonts w:eastAsia="Arial" w:cs="Arial"/>
          <w:spacing w:val="1"/>
        </w:rPr>
        <w:t>e</w:t>
      </w:r>
      <w:r>
        <w:rPr>
          <w:rFonts w:eastAsia="Arial" w:cs="Arial"/>
          <w:spacing w:val="-1"/>
        </w:rPr>
        <w:t>r</w:t>
      </w:r>
      <w:r>
        <w:rPr>
          <w:rFonts w:eastAsia="Arial" w:cs="Arial"/>
          <w:spacing w:val="1"/>
        </w:rPr>
        <w:t>a</w:t>
      </w:r>
      <w:r>
        <w:rPr>
          <w:rFonts w:eastAsia="Arial" w:cs="Arial"/>
        </w:rPr>
        <w:t>ti</w:t>
      </w:r>
      <w:r>
        <w:rPr>
          <w:rFonts w:eastAsia="Arial" w:cs="Arial"/>
          <w:spacing w:val="-1"/>
        </w:rPr>
        <w:t>o</w:t>
      </w:r>
      <w:r>
        <w:rPr>
          <w:rFonts w:eastAsia="Arial" w:cs="Arial"/>
        </w:rPr>
        <w:t>n</w:t>
      </w:r>
      <w:r>
        <w:rPr>
          <w:rFonts w:eastAsia="Arial" w:cs="Arial"/>
          <w:spacing w:val="1"/>
        </w:rPr>
        <w:t xml:space="preserve"> </w:t>
      </w:r>
      <w:r>
        <w:rPr>
          <w:rFonts w:eastAsia="Arial" w:cs="Arial"/>
          <w:spacing w:val="-1"/>
        </w:rPr>
        <w:t>be</w:t>
      </w:r>
      <w:r>
        <w:rPr>
          <w:rFonts w:eastAsia="Arial" w:cs="Arial"/>
          <w:spacing w:val="1"/>
        </w:rPr>
        <w:t>n</w:t>
      </w:r>
      <w:r>
        <w:rPr>
          <w:rFonts w:eastAsia="Arial" w:cs="Arial"/>
          <w:spacing w:val="-1"/>
        </w:rPr>
        <w:t>e</w:t>
      </w:r>
      <w:r>
        <w:rPr>
          <w:rFonts w:eastAsia="Arial" w:cs="Arial"/>
          <w:spacing w:val="3"/>
        </w:rPr>
        <w:t>f</w:t>
      </w:r>
      <w:r>
        <w:rPr>
          <w:rFonts w:eastAsia="Arial" w:cs="Arial"/>
        </w:rPr>
        <w:t xml:space="preserve">its </w:t>
      </w:r>
      <w:r>
        <w:rPr>
          <w:rFonts w:eastAsia="Arial" w:cs="Arial"/>
          <w:spacing w:val="-2"/>
        </w:rPr>
        <w:t>t</w:t>
      </w:r>
      <w:r>
        <w:rPr>
          <w:rFonts w:eastAsia="Arial" w:cs="Arial"/>
        </w:rPr>
        <w:t>o t</w:t>
      </w:r>
      <w:r>
        <w:rPr>
          <w:rFonts w:eastAsia="Arial" w:cs="Arial"/>
          <w:spacing w:val="1"/>
        </w:rPr>
        <w:t>h</w:t>
      </w:r>
      <w:r>
        <w:rPr>
          <w:rFonts w:eastAsia="Arial" w:cs="Arial"/>
        </w:rPr>
        <w:t>e</w:t>
      </w:r>
      <w:r>
        <w:rPr>
          <w:rFonts w:eastAsia="Arial" w:cs="Arial"/>
          <w:spacing w:val="1"/>
        </w:rPr>
        <w:t xml:space="preserve"> </w:t>
      </w:r>
      <w:r>
        <w:rPr>
          <w:rFonts w:eastAsia="Arial" w:cs="Arial"/>
        </w:rPr>
        <w:t>Cit</w:t>
      </w:r>
      <w:r>
        <w:rPr>
          <w:rFonts w:eastAsia="Arial" w:cs="Arial"/>
          <w:spacing w:val="-2"/>
        </w:rPr>
        <w:t>y</w:t>
      </w:r>
    </w:p>
    <w:p w:rsidR="00635D75" w:rsidRPr="00E929C9" w:rsidRDefault="00635D75" w:rsidP="00DA0FB0">
      <w:pPr>
        <w:numPr>
          <w:ilvl w:val="0"/>
          <w:numId w:val="34"/>
        </w:numPr>
        <w:shd w:val="clear" w:color="auto" w:fill="FFFFFF"/>
        <w:spacing w:before="100" w:beforeAutospacing="1" w:after="100" w:afterAutospacing="1"/>
        <w:ind w:left="567" w:hanging="567"/>
        <w:rPr>
          <w:rFonts w:eastAsia="Arial" w:cs="Arial"/>
          <w:color w:val="auto"/>
          <w:lang w:eastAsia="en-US"/>
        </w:rPr>
      </w:pPr>
      <w:r w:rsidRPr="00E929C9">
        <w:rPr>
          <w:rFonts w:eastAsia="Arial" w:cs="Arial"/>
          <w:color w:val="auto"/>
          <w:spacing w:val="2"/>
          <w:lang w:eastAsia="en-US"/>
        </w:rPr>
        <w:t>T</w:t>
      </w:r>
      <w:r w:rsidRPr="00E929C9">
        <w:rPr>
          <w:rFonts w:eastAsia="Arial" w:cs="Arial"/>
          <w:color w:val="auto"/>
          <w:spacing w:val="-1"/>
          <w:lang w:eastAsia="en-US"/>
        </w:rPr>
        <w:t>h</w:t>
      </w:r>
      <w:r w:rsidRPr="00E929C9">
        <w:rPr>
          <w:rFonts w:eastAsia="Arial" w:cs="Arial"/>
          <w:color w:val="auto"/>
          <w:lang w:eastAsia="en-US"/>
        </w:rPr>
        <w:t>e</w:t>
      </w:r>
      <w:r w:rsidRPr="00E929C9">
        <w:rPr>
          <w:rFonts w:eastAsia="Arial" w:cs="Arial"/>
          <w:color w:val="auto"/>
          <w:spacing w:val="1"/>
          <w:lang w:eastAsia="en-US"/>
        </w:rPr>
        <w:t xml:space="preserve"> p</w:t>
      </w:r>
      <w:r w:rsidRPr="00E929C9">
        <w:rPr>
          <w:rFonts w:eastAsia="Arial" w:cs="Arial"/>
          <w:color w:val="auto"/>
          <w:spacing w:val="-1"/>
          <w:lang w:eastAsia="en-US"/>
        </w:rPr>
        <w:t>r</w:t>
      </w:r>
      <w:r w:rsidRPr="00E929C9">
        <w:rPr>
          <w:rFonts w:eastAsia="Arial" w:cs="Arial"/>
          <w:color w:val="auto"/>
          <w:lang w:eastAsia="en-US"/>
        </w:rPr>
        <w:t>i</w:t>
      </w:r>
      <w:r w:rsidRPr="00E929C9">
        <w:rPr>
          <w:rFonts w:eastAsia="Arial" w:cs="Arial"/>
          <w:color w:val="auto"/>
          <w:spacing w:val="1"/>
          <w:lang w:eastAsia="en-US"/>
        </w:rPr>
        <w:t>n</w:t>
      </w:r>
      <w:r w:rsidRPr="00E929C9">
        <w:rPr>
          <w:rFonts w:eastAsia="Arial" w:cs="Arial"/>
          <w:color w:val="auto"/>
          <w:lang w:eastAsia="en-US"/>
        </w:rPr>
        <w:t>ci</w:t>
      </w:r>
      <w:r w:rsidRPr="00E929C9">
        <w:rPr>
          <w:rFonts w:eastAsia="Arial" w:cs="Arial"/>
          <w:color w:val="auto"/>
          <w:spacing w:val="-1"/>
          <w:lang w:eastAsia="en-US"/>
        </w:rPr>
        <w:t>p</w:t>
      </w:r>
      <w:r w:rsidRPr="00E929C9">
        <w:rPr>
          <w:rFonts w:eastAsia="Arial" w:cs="Arial"/>
          <w:color w:val="auto"/>
          <w:spacing w:val="1"/>
          <w:lang w:eastAsia="en-US"/>
        </w:rPr>
        <w:t>a</w:t>
      </w:r>
      <w:r w:rsidRPr="00E929C9">
        <w:rPr>
          <w:rFonts w:eastAsia="Arial" w:cs="Arial"/>
          <w:color w:val="auto"/>
          <w:lang w:eastAsia="en-US"/>
        </w:rPr>
        <w:t>l c</w:t>
      </w:r>
      <w:r w:rsidRPr="00E929C9">
        <w:rPr>
          <w:rFonts w:eastAsia="Arial" w:cs="Arial"/>
          <w:color w:val="auto"/>
          <w:spacing w:val="1"/>
          <w:lang w:eastAsia="en-US"/>
        </w:rPr>
        <w:t>on</w:t>
      </w:r>
      <w:r w:rsidRPr="00E929C9">
        <w:rPr>
          <w:rFonts w:eastAsia="Arial" w:cs="Arial"/>
          <w:color w:val="auto"/>
          <w:lang w:eastAsia="en-US"/>
        </w:rPr>
        <w:t>s</w:t>
      </w:r>
      <w:r w:rsidRPr="00E929C9">
        <w:rPr>
          <w:rFonts w:eastAsia="Arial" w:cs="Arial"/>
          <w:color w:val="auto"/>
          <w:spacing w:val="-3"/>
          <w:lang w:eastAsia="en-US"/>
        </w:rPr>
        <w:t>i</w:t>
      </w:r>
      <w:r w:rsidRPr="00E929C9">
        <w:rPr>
          <w:rFonts w:eastAsia="Arial" w:cs="Arial"/>
          <w:color w:val="auto"/>
          <w:spacing w:val="1"/>
          <w:lang w:eastAsia="en-US"/>
        </w:rPr>
        <w:t>de</w:t>
      </w:r>
      <w:r w:rsidRPr="00E929C9">
        <w:rPr>
          <w:rFonts w:eastAsia="Arial" w:cs="Arial"/>
          <w:color w:val="auto"/>
          <w:spacing w:val="-3"/>
          <w:lang w:eastAsia="en-US"/>
        </w:rPr>
        <w:t>r</w:t>
      </w:r>
      <w:r w:rsidRPr="00E929C9">
        <w:rPr>
          <w:rFonts w:eastAsia="Arial" w:cs="Arial"/>
          <w:color w:val="auto"/>
          <w:spacing w:val="1"/>
          <w:lang w:eastAsia="en-US"/>
        </w:rPr>
        <w:t>a</w:t>
      </w:r>
      <w:r w:rsidRPr="00E929C9">
        <w:rPr>
          <w:rFonts w:eastAsia="Arial" w:cs="Arial"/>
          <w:color w:val="auto"/>
          <w:lang w:eastAsia="en-US"/>
        </w:rPr>
        <w:t>ti</w:t>
      </w:r>
      <w:r w:rsidRPr="00E929C9">
        <w:rPr>
          <w:rFonts w:eastAsia="Arial" w:cs="Arial"/>
          <w:color w:val="auto"/>
          <w:spacing w:val="1"/>
          <w:lang w:eastAsia="en-US"/>
        </w:rPr>
        <w:t>o</w:t>
      </w:r>
      <w:r w:rsidRPr="00E929C9">
        <w:rPr>
          <w:rFonts w:eastAsia="Arial" w:cs="Arial"/>
          <w:color w:val="auto"/>
          <w:lang w:eastAsia="en-US"/>
        </w:rPr>
        <w:t>n</w:t>
      </w:r>
      <w:r w:rsidRPr="00E929C9">
        <w:rPr>
          <w:rFonts w:eastAsia="Arial" w:cs="Arial"/>
          <w:color w:val="auto"/>
          <w:spacing w:val="1"/>
          <w:lang w:eastAsia="en-US"/>
        </w:rPr>
        <w:t xml:space="preserve"> </w:t>
      </w:r>
      <w:r w:rsidRPr="00E929C9">
        <w:rPr>
          <w:rFonts w:eastAsia="Arial" w:cs="Arial"/>
          <w:color w:val="auto"/>
          <w:spacing w:val="-3"/>
          <w:lang w:eastAsia="en-US"/>
        </w:rPr>
        <w:t>w</w:t>
      </w:r>
      <w:r w:rsidRPr="00E929C9">
        <w:rPr>
          <w:rFonts w:eastAsia="Arial" w:cs="Arial"/>
          <w:color w:val="auto"/>
          <w:spacing w:val="1"/>
          <w:lang w:eastAsia="en-US"/>
        </w:rPr>
        <w:t>he</w:t>
      </w:r>
      <w:r w:rsidRPr="00E929C9">
        <w:rPr>
          <w:rFonts w:eastAsia="Arial" w:cs="Arial"/>
          <w:color w:val="auto"/>
          <w:lang w:eastAsia="en-US"/>
        </w:rPr>
        <w:t>n</w:t>
      </w:r>
      <w:r w:rsidRPr="00E929C9">
        <w:rPr>
          <w:rFonts w:eastAsia="Arial" w:cs="Arial"/>
          <w:color w:val="auto"/>
          <w:spacing w:val="-1"/>
          <w:lang w:eastAsia="en-US"/>
        </w:rPr>
        <w:t xml:space="preserve"> m</w:t>
      </w:r>
      <w:r w:rsidRPr="00E929C9">
        <w:rPr>
          <w:rFonts w:eastAsia="Arial" w:cs="Arial"/>
          <w:color w:val="auto"/>
          <w:spacing w:val="1"/>
          <w:lang w:eastAsia="en-US"/>
        </w:rPr>
        <w:t>a</w:t>
      </w:r>
      <w:r w:rsidRPr="00E929C9">
        <w:rPr>
          <w:rFonts w:eastAsia="Arial" w:cs="Arial"/>
          <w:color w:val="auto"/>
          <w:lang w:eastAsia="en-US"/>
        </w:rPr>
        <w:t>ki</w:t>
      </w:r>
      <w:r w:rsidRPr="00E929C9">
        <w:rPr>
          <w:rFonts w:eastAsia="Arial" w:cs="Arial"/>
          <w:color w:val="auto"/>
          <w:spacing w:val="1"/>
          <w:lang w:eastAsia="en-US"/>
        </w:rPr>
        <w:t>n</w:t>
      </w:r>
      <w:r w:rsidRPr="00E929C9">
        <w:rPr>
          <w:rFonts w:eastAsia="Arial" w:cs="Arial"/>
          <w:color w:val="auto"/>
          <w:lang w:eastAsia="en-US"/>
        </w:rPr>
        <w:t>g</w:t>
      </w:r>
      <w:r w:rsidRPr="00E929C9">
        <w:rPr>
          <w:rFonts w:eastAsia="Arial" w:cs="Arial"/>
          <w:color w:val="auto"/>
          <w:spacing w:val="-1"/>
          <w:lang w:eastAsia="en-US"/>
        </w:rPr>
        <w:t xml:space="preserve"> </w:t>
      </w:r>
      <w:r w:rsidRPr="00E929C9">
        <w:rPr>
          <w:rFonts w:eastAsia="Arial" w:cs="Arial"/>
          <w:color w:val="auto"/>
          <w:spacing w:val="1"/>
          <w:lang w:eastAsia="en-US"/>
        </w:rPr>
        <w:t>a</w:t>
      </w:r>
      <w:r w:rsidRPr="00E929C9">
        <w:rPr>
          <w:rFonts w:eastAsia="Arial" w:cs="Arial"/>
          <w:color w:val="auto"/>
          <w:lang w:eastAsia="en-US"/>
        </w:rPr>
        <w:t>n</w:t>
      </w:r>
      <w:r w:rsidRPr="00E929C9">
        <w:rPr>
          <w:rFonts w:eastAsia="Arial" w:cs="Arial"/>
          <w:color w:val="auto"/>
          <w:spacing w:val="-1"/>
          <w:lang w:eastAsia="en-US"/>
        </w:rPr>
        <w:t xml:space="preserve"> </w:t>
      </w:r>
      <w:r w:rsidRPr="00E929C9">
        <w:rPr>
          <w:rFonts w:eastAsia="Arial" w:cs="Arial"/>
          <w:color w:val="auto"/>
          <w:spacing w:val="1"/>
          <w:lang w:eastAsia="en-US"/>
        </w:rPr>
        <w:t>a</w:t>
      </w:r>
      <w:r w:rsidRPr="00E929C9">
        <w:rPr>
          <w:rFonts w:eastAsia="Arial" w:cs="Arial"/>
          <w:color w:val="auto"/>
          <w:spacing w:val="-3"/>
          <w:lang w:eastAsia="en-US"/>
        </w:rPr>
        <w:t>w</w:t>
      </w:r>
      <w:r w:rsidRPr="00E929C9">
        <w:rPr>
          <w:rFonts w:eastAsia="Arial" w:cs="Arial"/>
          <w:color w:val="auto"/>
          <w:spacing w:val="1"/>
          <w:lang w:eastAsia="en-US"/>
        </w:rPr>
        <w:t>a</w:t>
      </w:r>
      <w:r w:rsidRPr="00E929C9">
        <w:rPr>
          <w:rFonts w:eastAsia="Arial" w:cs="Arial"/>
          <w:color w:val="auto"/>
          <w:spacing w:val="-1"/>
          <w:lang w:eastAsia="en-US"/>
        </w:rPr>
        <w:t>r</w:t>
      </w:r>
      <w:r w:rsidRPr="00E929C9">
        <w:rPr>
          <w:rFonts w:eastAsia="Arial" w:cs="Arial"/>
          <w:color w:val="auto"/>
          <w:lang w:eastAsia="en-US"/>
        </w:rPr>
        <w:t>d</w:t>
      </w:r>
      <w:r w:rsidRPr="00E929C9">
        <w:rPr>
          <w:rFonts w:eastAsia="Arial" w:cs="Arial"/>
          <w:color w:val="auto"/>
          <w:spacing w:val="1"/>
          <w:lang w:eastAsia="en-US"/>
        </w:rPr>
        <w:t xml:space="preserve"> </w:t>
      </w:r>
      <w:r w:rsidRPr="00E929C9">
        <w:rPr>
          <w:rFonts w:eastAsia="Arial" w:cs="Arial"/>
          <w:color w:val="auto"/>
          <w:lang w:eastAsia="en-US"/>
        </w:rPr>
        <w:t>is t</w:t>
      </w:r>
      <w:r w:rsidRPr="00E929C9">
        <w:rPr>
          <w:rFonts w:eastAsia="Arial" w:cs="Arial"/>
          <w:color w:val="auto"/>
          <w:spacing w:val="1"/>
          <w:lang w:eastAsia="en-US"/>
        </w:rPr>
        <w:t>ha</w:t>
      </w:r>
      <w:r w:rsidRPr="00E929C9">
        <w:rPr>
          <w:rFonts w:eastAsia="Arial" w:cs="Arial"/>
          <w:color w:val="auto"/>
          <w:lang w:eastAsia="en-US"/>
        </w:rPr>
        <w:t>t</w:t>
      </w:r>
      <w:r w:rsidRPr="00E929C9">
        <w:rPr>
          <w:rFonts w:eastAsia="Arial" w:cs="Arial"/>
          <w:color w:val="auto"/>
          <w:spacing w:val="-1"/>
          <w:lang w:eastAsia="en-US"/>
        </w:rPr>
        <w:t xml:space="preserve"> </w:t>
      </w:r>
      <w:r w:rsidRPr="00E929C9">
        <w:rPr>
          <w:rFonts w:eastAsia="Arial" w:cs="Arial"/>
          <w:color w:val="auto"/>
          <w:spacing w:val="1"/>
          <w:lang w:eastAsia="en-US"/>
        </w:rPr>
        <w:t>an</w:t>
      </w:r>
      <w:r w:rsidRPr="00E929C9">
        <w:rPr>
          <w:rFonts w:eastAsia="Arial" w:cs="Arial"/>
          <w:color w:val="auto"/>
          <w:lang w:eastAsia="en-US"/>
        </w:rPr>
        <w:t>y</w:t>
      </w:r>
      <w:r w:rsidRPr="00E929C9">
        <w:rPr>
          <w:rFonts w:eastAsia="Arial" w:cs="Arial"/>
          <w:color w:val="auto"/>
          <w:spacing w:val="-2"/>
          <w:lang w:eastAsia="en-US"/>
        </w:rPr>
        <w:t xml:space="preserve"> Discretionary Rate </w:t>
      </w:r>
      <w:r w:rsidRPr="00E929C9">
        <w:rPr>
          <w:rFonts w:eastAsia="Arial" w:cs="Arial"/>
          <w:color w:val="auto"/>
          <w:spacing w:val="-1"/>
          <w:lang w:eastAsia="en-US"/>
        </w:rPr>
        <w:t>Relief</w:t>
      </w:r>
      <w:r w:rsidRPr="00E929C9">
        <w:rPr>
          <w:rFonts w:eastAsia="Arial" w:cs="Arial"/>
          <w:color w:val="auto"/>
          <w:spacing w:val="1"/>
          <w:lang w:eastAsia="en-US"/>
        </w:rPr>
        <w:t xml:space="preserve"> </w:t>
      </w:r>
      <w:r w:rsidRPr="00E929C9">
        <w:rPr>
          <w:rFonts w:eastAsia="Arial" w:cs="Arial"/>
          <w:color w:val="auto"/>
          <w:spacing w:val="-1"/>
          <w:lang w:eastAsia="en-US"/>
        </w:rPr>
        <w:t>gr</w:t>
      </w:r>
      <w:r w:rsidRPr="00E929C9">
        <w:rPr>
          <w:rFonts w:eastAsia="Arial" w:cs="Arial"/>
          <w:color w:val="auto"/>
          <w:spacing w:val="1"/>
          <w:lang w:eastAsia="en-US"/>
        </w:rPr>
        <w:t>an</w:t>
      </w:r>
      <w:r w:rsidRPr="00E929C9">
        <w:rPr>
          <w:rFonts w:eastAsia="Arial" w:cs="Arial"/>
          <w:color w:val="auto"/>
          <w:lang w:eastAsia="en-US"/>
        </w:rPr>
        <w:t>t</w:t>
      </w:r>
      <w:r w:rsidRPr="00E929C9">
        <w:rPr>
          <w:rFonts w:eastAsia="Arial" w:cs="Arial"/>
          <w:color w:val="auto"/>
          <w:spacing w:val="1"/>
          <w:lang w:eastAsia="en-US"/>
        </w:rPr>
        <w:t>e</w:t>
      </w:r>
      <w:r w:rsidRPr="00E929C9">
        <w:rPr>
          <w:rFonts w:eastAsia="Arial" w:cs="Arial"/>
          <w:color w:val="auto"/>
          <w:lang w:eastAsia="en-US"/>
        </w:rPr>
        <w:t>d is in</w:t>
      </w:r>
      <w:r w:rsidRPr="00E929C9">
        <w:rPr>
          <w:rFonts w:eastAsia="Arial" w:cs="Arial"/>
          <w:color w:val="auto"/>
          <w:spacing w:val="1"/>
          <w:lang w:eastAsia="en-US"/>
        </w:rPr>
        <w:t xml:space="preserve"> </w:t>
      </w:r>
      <w:r w:rsidRPr="00E929C9">
        <w:rPr>
          <w:rFonts w:eastAsia="Arial" w:cs="Arial"/>
          <w:color w:val="auto"/>
          <w:lang w:eastAsia="en-US"/>
        </w:rPr>
        <w:t>t</w:t>
      </w:r>
      <w:r w:rsidRPr="00E929C9">
        <w:rPr>
          <w:rFonts w:eastAsia="Arial" w:cs="Arial"/>
          <w:color w:val="auto"/>
          <w:spacing w:val="1"/>
          <w:lang w:eastAsia="en-US"/>
        </w:rPr>
        <w:t>h</w:t>
      </w:r>
      <w:r w:rsidRPr="00E929C9">
        <w:rPr>
          <w:rFonts w:eastAsia="Arial" w:cs="Arial"/>
          <w:color w:val="auto"/>
          <w:lang w:eastAsia="en-US"/>
        </w:rPr>
        <w:t>e</w:t>
      </w:r>
      <w:r w:rsidRPr="00E929C9">
        <w:rPr>
          <w:rFonts w:eastAsia="Arial" w:cs="Arial"/>
          <w:color w:val="auto"/>
          <w:spacing w:val="-1"/>
          <w:lang w:eastAsia="en-US"/>
        </w:rPr>
        <w:t xml:space="preserve"> </w:t>
      </w:r>
      <w:r w:rsidRPr="00E929C9">
        <w:rPr>
          <w:rFonts w:eastAsia="Arial" w:cs="Arial"/>
          <w:color w:val="auto"/>
          <w:spacing w:val="1"/>
          <w:lang w:eastAsia="en-US"/>
        </w:rPr>
        <w:t>be</w:t>
      </w:r>
      <w:r w:rsidRPr="00E929C9">
        <w:rPr>
          <w:rFonts w:eastAsia="Arial" w:cs="Arial"/>
          <w:color w:val="auto"/>
          <w:spacing w:val="-2"/>
          <w:lang w:eastAsia="en-US"/>
        </w:rPr>
        <w:t>s</w:t>
      </w:r>
      <w:r w:rsidRPr="00E929C9">
        <w:rPr>
          <w:rFonts w:eastAsia="Arial" w:cs="Arial"/>
          <w:color w:val="auto"/>
          <w:lang w:eastAsia="en-US"/>
        </w:rPr>
        <w:t>t</w:t>
      </w:r>
      <w:r w:rsidRPr="00E929C9">
        <w:rPr>
          <w:rFonts w:eastAsia="Arial" w:cs="Arial"/>
          <w:color w:val="auto"/>
          <w:spacing w:val="1"/>
          <w:lang w:eastAsia="en-US"/>
        </w:rPr>
        <w:t xml:space="preserve"> </w:t>
      </w:r>
      <w:r w:rsidRPr="00E929C9">
        <w:rPr>
          <w:rFonts w:eastAsia="Arial" w:cs="Arial"/>
          <w:color w:val="auto"/>
          <w:lang w:eastAsia="en-US"/>
        </w:rPr>
        <w:t>i</w:t>
      </w:r>
      <w:r w:rsidRPr="00E929C9">
        <w:rPr>
          <w:rFonts w:eastAsia="Arial" w:cs="Arial"/>
          <w:color w:val="auto"/>
          <w:spacing w:val="1"/>
          <w:lang w:eastAsia="en-US"/>
        </w:rPr>
        <w:t>n</w:t>
      </w:r>
      <w:r w:rsidRPr="00E929C9">
        <w:rPr>
          <w:rFonts w:eastAsia="Arial" w:cs="Arial"/>
          <w:color w:val="auto"/>
          <w:spacing w:val="-2"/>
          <w:lang w:eastAsia="en-US"/>
        </w:rPr>
        <w:t>t</w:t>
      </w:r>
      <w:r w:rsidRPr="00E929C9">
        <w:rPr>
          <w:rFonts w:eastAsia="Arial" w:cs="Arial"/>
          <w:color w:val="auto"/>
          <w:spacing w:val="1"/>
          <w:lang w:eastAsia="en-US"/>
        </w:rPr>
        <w:t>e</w:t>
      </w:r>
      <w:r w:rsidRPr="00E929C9">
        <w:rPr>
          <w:rFonts w:eastAsia="Arial" w:cs="Arial"/>
          <w:color w:val="auto"/>
          <w:spacing w:val="-1"/>
          <w:lang w:eastAsia="en-US"/>
        </w:rPr>
        <w:t>r</w:t>
      </w:r>
      <w:r w:rsidRPr="00E929C9">
        <w:rPr>
          <w:rFonts w:eastAsia="Arial" w:cs="Arial"/>
          <w:color w:val="auto"/>
          <w:spacing w:val="1"/>
          <w:lang w:eastAsia="en-US"/>
        </w:rPr>
        <w:t>e</w:t>
      </w:r>
      <w:r w:rsidRPr="00E929C9">
        <w:rPr>
          <w:rFonts w:eastAsia="Arial" w:cs="Arial"/>
          <w:color w:val="auto"/>
          <w:lang w:eastAsia="en-US"/>
        </w:rPr>
        <w:t xml:space="preserve">sts </w:t>
      </w:r>
      <w:r w:rsidRPr="00E929C9">
        <w:rPr>
          <w:rFonts w:eastAsia="Arial" w:cs="Arial"/>
          <w:color w:val="auto"/>
          <w:spacing w:val="-1"/>
          <w:lang w:eastAsia="en-US"/>
        </w:rPr>
        <w:t>o</w:t>
      </w:r>
      <w:r w:rsidRPr="00E929C9">
        <w:rPr>
          <w:rFonts w:eastAsia="Arial" w:cs="Arial"/>
          <w:color w:val="auto"/>
          <w:lang w:eastAsia="en-US"/>
        </w:rPr>
        <w:t>f</w:t>
      </w:r>
      <w:r w:rsidRPr="00E929C9">
        <w:rPr>
          <w:rFonts w:eastAsia="Arial" w:cs="Arial"/>
          <w:color w:val="auto"/>
          <w:spacing w:val="-1"/>
          <w:lang w:eastAsia="en-US"/>
        </w:rPr>
        <w:t xml:space="preserve"> </w:t>
      </w:r>
      <w:r w:rsidRPr="00E929C9">
        <w:rPr>
          <w:rFonts w:eastAsia="Arial" w:cs="Arial"/>
          <w:color w:val="auto"/>
          <w:lang w:eastAsia="en-US"/>
        </w:rPr>
        <w:t>t</w:t>
      </w:r>
      <w:r w:rsidRPr="00E929C9">
        <w:rPr>
          <w:rFonts w:eastAsia="Arial" w:cs="Arial"/>
          <w:color w:val="auto"/>
          <w:spacing w:val="1"/>
          <w:lang w:eastAsia="en-US"/>
        </w:rPr>
        <w:t>h</w:t>
      </w:r>
      <w:r w:rsidRPr="00E929C9">
        <w:rPr>
          <w:rFonts w:eastAsia="Arial" w:cs="Arial"/>
          <w:color w:val="auto"/>
          <w:lang w:eastAsia="en-US"/>
        </w:rPr>
        <w:t>e</w:t>
      </w:r>
      <w:r w:rsidRPr="00E929C9">
        <w:rPr>
          <w:rFonts w:eastAsia="Arial" w:cs="Arial"/>
          <w:color w:val="auto"/>
          <w:spacing w:val="1"/>
          <w:lang w:eastAsia="en-US"/>
        </w:rPr>
        <w:t xml:space="preserve"> </w:t>
      </w:r>
      <w:r w:rsidRPr="00E929C9">
        <w:rPr>
          <w:rFonts w:eastAsia="Arial" w:cs="Arial"/>
          <w:color w:val="auto"/>
          <w:spacing w:val="-1"/>
          <w:lang w:eastAsia="en-US"/>
        </w:rPr>
        <w:t>r</w:t>
      </w:r>
      <w:r w:rsidRPr="00E929C9">
        <w:rPr>
          <w:rFonts w:eastAsia="Arial" w:cs="Arial"/>
          <w:color w:val="auto"/>
          <w:spacing w:val="1"/>
          <w:lang w:eastAsia="en-US"/>
        </w:rPr>
        <w:t>e</w:t>
      </w:r>
      <w:r w:rsidRPr="00E929C9">
        <w:rPr>
          <w:rFonts w:eastAsia="Arial" w:cs="Arial"/>
          <w:color w:val="auto"/>
          <w:lang w:eastAsia="en-US"/>
        </w:rPr>
        <w:t>si</w:t>
      </w:r>
      <w:r w:rsidRPr="00E929C9">
        <w:rPr>
          <w:rFonts w:eastAsia="Arial" w:cs="Arial"/>
          <w:color w:val="auto"/>
          <w:spacing w:val="-1"/>
          <w:lang w:eastAsia="en-US"/>
        </w:rPr>
        <w:t>d</w:t>
      </w:r>
      <w:r w:rsidRPr="00E929C9">
        <w:rPr>
          <w:rFonts w:eastAsia="Arial" w:cs="Arial"/>
          <w:color w:val="auto"/>
          <w:spacing w:val="1"/>
          <w:lang w:eastAsia="en-US"/>
        </w:rPr>
        <w:t>en</w:t>
      </w:r>
      <w:r w:rsidRPr="00E929C9">
        <w:rPr>
          <w:rFonts w:eastAsia="Arial" w:cs="Arial"/>
          <w:color w:val="auto"/>
          <w:lang w:eastAsia="en-US"/>
        </w:rPr>
        <w:t>ts</w:t>
      </w:r>
      <w:r w:rsidRPr="00E929C9">
        <w:rPr>
          <w:rFonts w:eastAsia="Arial" w:cs="Arial"/>
          <w:color w:val="auto"/>
          <w:spacing w:val="-2"/>
          <w:lang w:eastAsia="en-US"/>
        </w:rPr>
        <w:t xml:space="preserve"> </w:t>
      </w:r>
      <w:r w:rsidRPr="00E929C9">
        <w:rPr>
          <w:rFonts w:eastAsia="Arial" w:cs="Arial"/>
          <w:color w:val="auto"/>
          <w:spacing w:val="1"/>
          <w:lang w:eastAsia="en-US"/>
        </w:rPr>
        <w:t>a</w:t>
      </w:r>
      <w:r w:rsidRPr="00E929C9">
        <w:rPr>
          <w:rFonts w:eastAsia="Arial" w:cs="Arial"/>
          <w:color w:val="auto"/>
          <w:spacing w:val="-1"/>
          <w:lang w:eastAsia="en-US"/>
        </w:rPr>
        <w:t>n</w:t>
      </w:r>
      <w:r w:rsidRPr="00E929C9">
        <w:rPr>
          <w:rFonts w:eastAsia="Arial" w:cs="Arial"/>
          <w:color w:val="auto"/>
          <w:lang w:eastAsia="en-US"/>
        </w:rPr>
        <w:t>d</w:t>
      </w:r>
      <w:r w:rsidRPr="00E929C9">
        <w:rPr>
          <w:rFonts w:eastAsia="Arial" w:cs="Arial"/>
          <w:color w:val="auto"/>
          <w:spacing w:val="1"/>
          <w:lang w:eastAsia="en-US"/>
        </w:rPr>
        <w:t xml:space="preserve"> </w:t>
      </w:r>
      <w:r w:rsidRPr="00E929C9">
        <w:rPr>
          <w:rFonts w:eastAsia="Arial" w:cs="Arial"/>
          <w:color w:val="auto"/>
          <w:spacing w:val="-2"/>
          <w:lang w:eastAsia="en-US"/>
        </w:rPr>
        <w:t>t</w:t>
      </w:r>
      <w:r w:rsidRPr="00E929C9">
        <w:rPr>
          <w:rFonts w:eastAsia="Arial" w:cs="Arial"/>
          <w:color w:val="auto"/>
          <w:spacing w:val="1"/>
          <w:lang w:eastAsia="en-US"/>
        </w:rPr>
        <w:t>a</w:t>
      </w:r>
      <w:r w:rsidRPr="00E929C9">
        <w:rPr>
          <w:rFonts w:eastAsia="Arial" w:cs="Arial"/>
          <w:color w:val="auto"/>
          <w:spacing w:val="-2"/>
          <w:lang w:eastAsia="en-US"/>
        </w:rPr>
        <w:t>x</w:t>
      </w:r>
      <w:r w:rsidRPr="00E929C9">
        <w:rPr>
          <w:rFonts w:eastAsia="Arial" w:cs="Arial"/>
          <w:color w:val="auto"/>
          <w:spacing w:val="1"/>
          <w:lang w:eastAsia="en-US"/>
        </w:rPr>
        <w:t>pa</w:t>
      </w:r>
      <w:r w:rsidRPr="00E929C9">
        <w:rPr>
          <w:rFonts w:eastAsia="Arial" w:cs="Arial"/>
          <w:color w:val="auto"/>
          <w:spacing w:val="-2"/>
          <w:lang w:eastAsia="en-US"/>
        </w:rPr>
        <w:t>y</w:t>
      </w:r>
      <w:r w:rsidRPr="00E929C9">
        <w:rPr>
          <w:rFonts w:eastAsia="Arial" w:cs="Arial"/>
          <w:color w:val="auto"/>
          <w:spacing w:val="1"/>
          <w:lang w:eastAsia="en-US"/>
        </w:rPr>
        <w:t>e</w:t>
      </w:r>
      <w:r w:rsidRPr="00E929C9">
        <w:rPr>
          <w:rFonts w:eastAsia="Arial" w:cs="Arial"/>
          <w:color w:val="auto"/>
          <w:spacing w:val="-1"/>
          <w:lang w:eastAsia="en-US"/>
        </w:rPr>
        <w:t>r</w:t>
      </w:r>
      <w:r w:rsidRPr="00E929C9">
        <w:rPr>
          <w:rFonts w:eastAsia="Arial" w:cs="Arial"/>
          <w:color w:val="auto"/>
          <w:lang w:eastAsia="en-US"/>
        </w:rPr>
        <w:t xml:space="preserve">s </w:t>
      </w:r>
      <w:r w:rsidRPr="00E929C9">
        <w:rPr>
          <w:rFonts w:eastAsia="Arial" w:cs="Arial"/>
          <w:color w:val="auto"/>
          <w:spacing w:val="1"/>
          <w:lang w:eastAsia="en-US"/>
        </w:rPr>
        <w:t>o</w:t>
      </w:r>
      <w:r w:rsidRPr="00E929C9">
        <w:rPr>
          <w:rFonts w:eastAsia="Arial" w:cs="Arial"/>
          <w:color w:val="auto"/>
          <w:lang w:eastAsia="en-US"/>
        </w:rPr>
        <w:t>f</w:t>
      </w:r>
      <w:r w:rsidRPr="00E929C9">
        <w:rPr>
          <w:rFonts w:eastAsia="Arial" w:cs="Arial"/>
          <w:color w:val="auto"/>
          <w:spacing w:val="1"/>
          <w:lang w:eastAsia="en-US"/>
        </w:rPr>
        <w:t xml:space="preserve"> </w:t>
      </w:r>
      <w:r w:rsidRPr="00E929C9">
        <w:rPr>
          <w:rFonts w:eastAsia="Arial" w:cs="Arial"/>
          <w:color w:val="auto"/>
          <w:lang w:eastAsia="en-US"/>
        </w:rPr>
        <w:t>O</w:t>
      </w:r>
      <w:r w:rsidRPr="00E929C9">
        <w:rPr>
          <w:rFonts w:eastAsia="Arial" w:cs="Arial"/>
          <w:color w:val="auto"/>
          <w:spacing w:val="-2"/>
          <w:lang w:eastAsia="en-US"/>
        </w:rPr>
        <w:t>x</w:t>
      </w:r>
      <w:r w:rsidRPr="00E929C9">
        <w:rPr>
          <w:rFonts w:eastAsia="Arial" w:cs="Arial"/>
          <w:color w:val="auto"/>
          <w:spacing w:val="3"/>
          <w:lang w:eastAsia="en-US"/>
        </w:rPr>
        <w:t>f</w:t>
      </w:r>
      <w:r w:rsidRPr="00E929C9">
        <w:rPr>
          <w:rFonts w:eastAsia="Arial" w:cs="Arial"/>
          <w:color w:val="auto"/>
          <w:spacing w:val="1"/>
          <w:lang w:eastAsia="en-US"/>
        </w:rPr>
        <w:t>o</w:t>
      </w:r>
      <w:r w:rsidRPr="00E929C9">
        <w:rPr>
          <w:rFonts w:eastAsia="Arial" w:cs="Arial"/>
          <w:color w:val="auto"/>
          <w:spacing w:val="-1"/>
          <w:lang w:eastAsia="en-US"/>
        </w:rPr>
        <w:t>r</w:t>
      </w:r>
      <w:r w:rsidRPr="00E929C9">
        <w:rPr>
          <w:rFonts w:eastAsia="Arial" w:cs="Arial"/>
          <w:color w:val="auto"/>
          <w:lang w:eastAsia="en-US"/>
        </w:rPr>
        <w:t>d</w:t>
      </w:r>
      <w:r w:rsidRPr="00E929C9">
        <w:rPr>
          <w:rFonts w:eastAsia="Arial" w:cs="Arial"/>
          <w:color w:val="auto"/>
          <w:spacing w:val="-1"/>
          <w:lang w:eastAsia="en-US"/>
        </w:rPr>
        <w:t xml:space="preserve"> </w:t>
      </w:r>
      <w:r w:rsidRPr="00E929C9">
        <w:rPr>
          <w:rFonts w:eastAsia="Arial" w:cs="Arial"/>
          <w:color w:val="auto"/>
          <w:lang w:eastAsia="en-US"/>
        </w:rPr>
        <w:t>City</w:t>
      </w:r>
      <w:r w:rsidRPr="00E929C9">
        <w:rPr>
          <w:rFonts w:eastAsia="Arial" w:cs="Arial"/>
          <w:color w:val="auto"/>
          <w:spacing w:val="-2"/>
          <w:lang w:eastAsia="en-US"/>
        </w:rPr>
        <w:t xml:space="preserve"> </w:t>
      </w:r>
      <w:r w:rsidRPr="00E929C9">
        <w:rPr>
          <w:rFonts w:eastAsia="Arial" w:cs="Arial"/>
          <w:color w:val="auto"/>
          <w:spacing w:val="1"/>
          <w:lang w:eastAsia="en-US"/>
        </w:rPr>
        <w:t>an</w:t>
      </w:r>
      <w:r w:rsidRPr="00E929C9">
        <w:rPr>
          <w:rFonts w:eastAsia="Arial" w:cs="Arial"/>
          <w:color w:val="auto"/>
          <w:lang w:eastAsia="en-US"/>
        </w:rPr>
        <w:t>d</w:t>
      </w:r>
      <w:r w:rsidRPr="00E929C9">
        <w:rPr>
          <w:rFonts w:eastAsia="Arial" w:cs="Arial"/>
          <w:color w:val="auto"/>
          <w:spacing w:val="1"/>
          <w:lang w:eastAsia="en-US"/>
        </w:rPr>
        <w:t xml:space="preserve"> </w:t>
      </w:r>
      <w:r w:rsidR="00261E12">
        <w:rPr>
          <w:rFonts w:eastAsia="Arial" w:cs="Arial"/>
          <w:color w:val="auto"/>
          <w:spacing w:val="1"/>
          <w:lang w:eastAsia="en-US"/>
        </w:rPr>
        <w:t xml:space="preserve">that it delivers against </w:t>
      </w:r>
      <w:r w:rsidRPr="00E929C9">
        <w:rPr>
          <w:rFonts w:eastAsia="Arial" w:cs="Arial"/>
          <w:color w:val="auto"/>
          <w:lang w:eastAsia="en-US"/>
        </w:rPr>
        <w:t xml:space="preserve">a </w:t>
      </w:r>
      <w:r w:rsidR="00B54101">
        <w:rPr>
          <w:rFonts w:eastAsia="Arial" w:cs="Arial"/>
          <w:color w:val="auto"/>
          <w:lang w:eastAsia="en-US"/>
        </w:rPr>
        <w:t>specific policy objective</w:t>
      </w:r>
      <w:r w:rsidRPr="00E929C9">
        <w:rPr>
          <w:rFonts w:eastAsia="Arial" w:cs="Arial"/>
          <w:color w:val="auto"/>
          <w:lang w:eastAsia="en-US"/>
        </w:rPr>
        <w:t xml:space="preserve">. </w:t>
      </w:r>
    </w:p>
    <w:p w:rsidR="00635D75" w:rsidRPr="00E929C9" w:rsidRDefault="00642676" w:rsidP="00DA0FB0">
      <w:pPr>
        <w:rPr>
          <w:b/>
          <w:color w:val="auto"/>
        </w:rPr>
      </w:pPr>
      <w:r>
        <w:rPr>
          <w:b/>
          <w:color w:val="auto"/>
        </w:rPr>
        <w:t>Purpose of the Policy</w:t>
      </w:r>
    </w:p>
    <w:p w:rsidR="00635D75" w:rsidRPr="00E929C9" w:rsidRDefault="00635D75" w:rsidP="00DA0FB0">
      <w:pPr>
        <w:numPr>
          <w:ilvl w:val="0"/>
          <w:numId w:val="34"/>
        </w:numPr>
        <w:shd w:val="clear" w:color="auto" w:fill="FFFFFF"/>
        <w:ind w:left="567" w:hanging="567"/>
        <w:rPr>
          <w:rFonts w:cs="Arial"/>
        </w:rPr>
      </w:pPr>
      <w:r w:rsidRPr="00E929C9">
        <w:rPr>
          <w:rFonts w:cs="Arial"/>
          <w:color w:val="auto"/>
        </w:rPr>
        <w:t>The purpose of th</w:t>
      </w:r>
      <w:r w:rsidR="00261E12">
        <w:rPr>
          <w:rFonts w:cs="Arial"/>
          <w:color w:val="auto"/>
        </w:rPr>
        <w:t>e P</w:t>
      </w:r>
      <w:r w:rsidRPr="00E929C9">
        <w:rPr>
          <w:rFonts w:cs="Arial"/>
          <w:color w:val="auto"/>
        </w:rPr>
        <w:t xml:space="preserve">olicy </w:t>
      </w:r>
      <w:r w:rsidR="00261E12" w:rsidRPr="00E929C9">
        <w:rPr>
          <w:rFonts w:cs="Arial"/>
        </w:rPr>
        <w:t>attached at Appe</w:t>
      </w:r>
      <w:r w:rsidR="00261E12">
        <w:rPr>
          <w:rFonts w:cs="Arial"/>
        </w:rPr>
        <w:t xml:space="preserve">ndix 1, </w:t>
      </w:r>
      <w:r w:rsidRPr="00E929C9">
        <w:rPr>
          <w:rFonts w:cs="Arial"/>
          <w:color w:val="auto"/>
        </w:rPr>
        <w:t>is to determine the level of Discretionary Rate Relief to be granted to cer</w:t>
      </w:r>
      <w:r>
        <w:rPr>
          <w:rFonts w:cs="Arial"/>
          <w:color w:val="auto"/>
        </w:rPr>
        <w:t>tain defined ratepayers</w:t>
      </w:r>
      <w:r w:rsidR="00B54101">
        <w:rPr>
          <w:rFonts w:cs="Arial"/>
          <w:color w:val="auto"/>
        </w:rPr>
        <w:t xml:space="preserve"> within the City Council’s area</w:t>
      </w:r>
      <w:r>
        <w:rPr>
          <w:rFonts w:cs="Arial"/>
          <w:color w:val="auto"/>
        </w:rPr>
        <w:t>.</w:t>
      </w:r>
      <w:r w:rsidRPr="00E929C9">
        <w:rPr>
          <w:rFonts w:cs="Arial"/>
          <w:color w:val="auto"/>
        </w:rPr>
        <w:t xml:space="preserve"> </w:t>
      </w:r>
      <w:r w:rsidRPr="00E929C9">
        <w:rPr>
          <w:rFonts w:cs="Arial"/>
        </w:rPr>
        <w:t xml:space="preserve">. </w:t>
      </w:r>
    </w:p>
    <w:p w:rsidR="00635D75" w:rsidRPr="00DA0FB0" w:rsidRDefault="00635D75" w:rsidP="00DA0FB0">
      <w:pPr>
        <w:numPr>
          <w:ilvl w:val="0"/>
          <w:numId w:val="34"/>
        </w:numPr>
        <w:autoSpaceDE w:val="0"/>
        <w:autoSpaceDN w:val="0"/>
        <w:adjustRightInd w:val="0"/>
        <w:spacing w:after="0"/>
        <w:ind w:left="567" w:hanging="567"/>
        <w:rPr>
          <w:rFonts w:cs="Arial"/>
          <w:color w:val="auto"/>
        </w:rPr>
      </w:pPr>
      <w:r w:rsidRPr="00E929C9">
        <w:rPr>
          <w:rFonts w:cs="Arial"/>
          <w:color w:val="auto"/>
        </w:rPr>
        <w:t>The</w:t>
      </w:r>
      <w:r w:rsidRPr="00E929C9">
        <w:rPr>
          <w:rFonts w:cs="Arial"/>
        </w:rPr>
        <w:t xml:space="preserve"> </w:t>
      </w:r>
      <w:r w:rsidR="00261E12">
        <w:rPr>
          <w:rFonts w:cs="Arial"/>
        </w:rPr>
        <w:t>P</w:t>
      </w:r>
      <w:r w:rsidRPr="00E929C9">
        <w:rPr>
          <w:rFonts w:cs="Arial"/>
        </w:rPr>
        <w:t>olicy contains details of the Reliefs available, how to apply for them, and the process should an application be unsuccessful.</w:t>
      </w:r>
    </w:p>
    <w:p w:rsidR="00DA0FB0" w:rsidRPr="00E929C9" w:rsidRDefault="00DA0FB0" w:rsidP="00DA0FB0">
      <w:pPr>
        <w:autoSpaceDE w:val="0"/>
        <w:autoSpaceDN w:val="0"/>
        <w:adjustRightInd w:val="0"/>
        <w:spacing w:after="0"/>
        <w:rPr>
          <w:rFonts w:cs="Arial"/>
          <w:color w:val="auto"/>
        </w:rPr>
      </w:pPr>
    </w:p>
    <w:p w:rsidR="00635D75" w:rsidRPr="00E929C9" w:rsidRDefault="00642676" w:rsidP="00DA0FB0">
      <w:pPr>
        <w:shd w:val="clear" w:color="auto" w:fill="FFFFFF"/>
        <w:rPr>
          <w:rFonts w:cs="Arial"/>
        </w:rPr>
      </w:pPr>
      <w:r>
        <w:rPr>
          <w:rFonts w:cs="Arial"/>
          <w:b/>
        </w:rPr>
        <w:t>Management of the Process</w:t>
      </w:r>
      <w:r w:rsidR="00635D75" w:rsidRPr="00E929C9">
        <w:rPr>
          <w:rFonts w:cs="Arial"/>
        </w:rPr>
        <w:t xml:space="preserve"> </w:t>
      </w:r>
    </w:p>
    <w:p w:rsidR="00635D75" w:rsidRPr="00E929C9" w:rsidRDefault="00635D75" w:rsidP="00DA0FB0">
      <w:pPr>
        <w:numPr>
          <w:ilvl w:val="0"/>
          <w:numId w:val="34"/>
        </w:numPr>
        <w:shd w:val="clear" w:color="auto" w:fill="FFFFFF"/>
        <w:spacing w:before="120"/>
        <w:ind w:left="567" w:hanging="567"/>
        <w:rPr>
          <w:rFonts w:cs="Arial"/>
        </w:rPr>
      </w:pPr>
      <w:r w:rsidRPr="00E929C9">
        <w:rPr>
          <w:rFonts w:cs="Arial"/>
        </w:rPr>
        <w:t xml:space="preserve">The Policy will be available for the public to view on </w:t>
      </w:r>
      <w:r w:rsidR="00261E12">
        <w:rPr>
          <w:rFonts w:cs="Arial"/>
        </w:rPr>
        <w:t>the Council’s</w:t>
      </w:r>
      <w:r w:rsidRPr="00E929C9">
        <w:rPr>
          <w:rFonts w:cs="Arial"/>
        </w:rPr>
        <w:t xml:space="preserve"> website.</w:t>
      </w:r>
    </w:p>
    <w:p w:rsidR="00635D75" w:rsidRPr="00E929C9" w:rsidRDefault="00635D75" w:rsidP="00DA0FB0">
      <w:pPr>
        <w:numPr>
          <w:ilvl w:val="0"/>
          <w:numId w:val="34"/>
        </w:numPr>
        <w:shd w:val="clear" w:color="auto" w:fill="FFFFFF"/>
        <w:spacing w:before="100" w:beforeAutospacing="1"/>
        <w:ind w:left="567" w:hanging="567"/>
        <w:rPr>
          <w:rFonts w:cs="Arial"/>
        </w:rPr>
      </w:pPr>
      <w:r w:rsidRPr="00E929C9">
        <w:rPr>
          <w:rFonts w:cs="Arial"/>
        </w:rPr>
        <w:t xml:space="preserve">Once a Ratepayer has been awarded Discretionary Rate Relief, the decision can only be revoked by giving at least one year’s notice to the Ratepayer with the date of revocation. </w:t>
      </w:r>
    </w:p>
    <w:p w:rsidR="00635D75" w:rsidRPr="00E929C9" w:rsidRDefault="00261E12" w:rsidP="00DA0FB0">
      <w:pPr>
        <w:numPr>
          <w:ilvl w:val="0"/>
          <w:numId w:val="34"/>
        </w:numPr>
        <w:shd w:val="clear" w:color="auto" w:fill="FFFFFF"/>
        <w:spacing w:before="100" w:beforeAutospacing="1"/>
        <w:ind w:left="567" w:hanging="567"/>
        <w:rPr>
          <w:rFonts w:cs="Arial"/>
        </w:rPr>
      </w:pPr>
      <w:r>
        <w:t xml:space="preserve">The Council’s </w:t>
      </w:r>
      <w:r w:rsidR="00635D75" w:rsidRPr="00E929C9">
        <w:t>normal practice is to grant Discretionary Rate Relief for one year at a time. Ratepayers are advised of this, and prior to the start of a new financial year we invite those currently in receipt of Discretionary Rate Relief to re-apply for Relief. Supporting evidence or documentation will be requested where required.</w:t>
      </w:r>
    </w:p>
    <w:p w:rsidR="00635D75" w:rsidRPr="00E929C9" w:rsidRDefault="00635D75" w:rsidP="00DA0FB0">
      <w:pPr>
        <w:numPr>
          <w:ilvl w:val="0"/>
          <w:numId w:val="34"/>
        </w:numPr>
        <w:shd w:val="clear" w:color="auto" w:fill="FFFFFF"/>
        <w:spacing w:before="100" w:beforeAutospacing="1"/>
        <w:ind w:left="567" w:hanging="567"/>
        <w:rPr>
          <w:rFonts w:cs="Arial"/>
        </w:rPr>
      </w:pPr>
      <w:r w:rsidRPr="00E929C9">
        <w:rPr>
          <w:rFonts w:cs="Arial"/>
        </w:rPr>
        <w:t xml:space="preserve">Unsuccessful applicants </w:t>
      </w:r>
      <w:r w:rsidRPr="00E929C9">
        <w:rPr>
          <w:rFonts w:cs="Arial"/>
          <w:color w:val="auto"/>
        </w:rPr>
        <w:t>are</w:t>
      </w:r>
      <w:r w:rsidRPr="00C95DEF">
        <w:rPr>
          <w:rFonts w:cs="Arial"/>
          <w:color w:val="auto"/>
        </w:rPr>
        <w:t xml:space="preserve"> </w:t>
      </w:r>
      <w:r w:rsidR="00C95DEF" w:rsidRPr="00C95DEF">
        <w:rPr>
          <w:rFonts w:cs="Arial"/>
          <w:color w:val="auto"/>
        </w:rPr>
        <w:t>able</w:t>
      </w:r>
      <w:r w:rsidR="00C95DEF">
        <w:rPr>
          <w:rFonts w:cs="Arial"/>
          <w:color w:val="FF0000"/>
        </w:rPr>
        <w:t xml:space="preserve"> </w:t>
      </w:r>
      <w:r w:rsidRPr="00E929C9">
        <w:rPr>
          <w:rFonts w:cs="Arial"/>
        </w:rPr>
        <w:t>to request a reconsideration of the decision</w:t>
      </w:r>
      <w:r w:rsidR="00261E12">
        <w:rPr>
          <w:rFonts w:cs="Arial"/>
        </w:rPr>
        <w:t>.</w:t>
      </w:r>
    </w:p>
    <w:p w:rsidR="00635D75" w:rsidRPr="003F6780" w:rsidRDefault="00B54101" w:rsidP="00DA0FB0">
      <w:pPr>
        <w:numPr>
          <w:ilvl w:val="0"/>
          <w:numId w:val="34"/>
        </w:numPr>
        <w:shd w:val="clear" w:color="auto" w:fill="FFFFFF"/>
        <w:spacing w:before="100" w:beforeAutospacing="1"/>
        <w:ind w:left="567" w:hanging="567"/>
        <w:rPr>
          <w:rFonts w:cs="Arial"/>
        </w:rPr>
      </w:pPr>
      <w:r>
        <w:rPr>
          <w:rFonts w:cs="Arial"/>
        </w:rPr>
        <w:t>Following a review of the decision</w:t>
      </w:r>
      <w:r w:rsidR="00635D75" w:rsidRPr="00E929C9">
        <w:rPr>
          <w:rFonts w:cs="Arial"/>
        </w:rPr>
        <w:t xml:space="preserve"> to refuse Discretionary Rate Relief </w:t>
      </w:r>
      <w:r>
        <w:rPr>
          <w:rFonts w:cs="Arial"/>
        </w:rPr>
        <w:t xml:space="preserve">it </w:t>
      </w:r>
      <w:r w:rsidR="00635D75" w:rsidRPr="00E929C9">
        <w:rPr>
          <w:rFonts w:cs="Arial"/>
        </w:rPr>
        <w:t xml:space="preserve">can only </w:t>
      </w:r>
      <w:r w:rsidR="00261E12">
        <w:rPr>
          <w:rFonts w:cs="Arial"/>
        </w:rPr>
        <w:t xml:space="preserve">subsequently </w:t>
      </w:r>
      <w:r w:rsidR="00635D75" w:rsidRPr="00E929C9">
        <w:rPr>
          <w:rFonts w:cs="Arial"/>
        </w:rPr>
        <w:t xml:space="preserve">be challenged by an application for </w:t>
      </w:r>
      <w:r w:rsidR="00261E12">
        <w:rPr>
          <w:rFonts w:cs="Arial"/>
        </w:rPr>
        <w:t>J</w:t>
      </w:r>
      <w:r w:rsidR="00635D75" w:rsidRPr="00E929C9">
        <w:rPr>
          <w:rFonts w:cs="Arial"/>
        </w:rPr>
        <w:t xml:space="preserve">udicial </w:t>
      </w:r>
      <w:r w:rsidR="00261E12">
        <w:rPr>
          <w:rFonts w:cs="Arial"/>
        </w:rPr>
        <w:t>R</w:t>
      </w:r>
      <w:r w:rsidR="00635D75" w:rsidRPr="00E929C9">
        <w:rPr>
          <w:rFonts w:cs="Arial"/>
        </w:rPr>
        <w:t>eview in the High Court.</w:t>
      </w:r>
    </w:p>
    <w:p w:rsidR="00635D75" w:rsidRPr="003F6780" w:rsidRDefault="003F6780" w:rsidP="00DA0FB0">
      <w:pPr>
        <w:spacing w:after="0"/>
        <w:jc w:val="both"/>
        <w:rPr>
          <w:rFonts w:eastAsia="Calibri"/>
          <w:color w:val="FF0000"/>
          <w:lang w:eastAsia="en-US"/>
        </w:rPr>
      </w:pPr>
      <w:r>
        <w:rPr>
          <w:rFonts w:eastAsia="Calibri"/>
          <w:b/>
          <w:color w:val="auto"/>
          <w:lang w:eastAsia="en-US"/>
        </w:rPr>
        <w:t>Financial Implications</w:t>
      </w:r>
    </w:p>
    <w:p w:rsidR="00635D75" w:rsidRDefault="00635D75" w:rsidP="00DA0FB0">
      <w:pPr>
        <w:numPr>
          <w:ilvl w:val="0"/>
          <w:numId w:val="34"/>
        </w:numPr>
        <w:spacing w:after="0"/>
        <w:ind w:left="567" w:hanging="567"/>
        <w:rPr>
          <w:color w:val="auto"/>
        </w:rPr>
      </w:pPr>
      <w:r w:rsidRPr="00E929C9">
        <w:rPr>
          <w:color w:val="auto"/>
        </w:rPr>
        <w:t>Since the Business Rates</w:t>
      </w:r>
      <w:r w:rsidR="00261E12">
        <w:rPr>
          <w:color w:val="auto"/>
        </w:rPr>
        <w:t xml:space="preserve"> R</w:t>
      </w:r>
      <w:r w:rsidRPr="00E929C9">
        <w:rPr>
          <w:color w:val="auto"/>
        </w:rPr>
        <w:t xml:space="preserve">etention </w:t>
      </w:r>
      <w:r w:rsidR="00261E12">
        <w:rPr>
          <w:color w:val="auto"/>
        </w:rPr>
        <w:t>S</w:t>
      </w:r>
      <w:r w:rsidRPr="00E929C9">
        <w:rPr>
          <w:color w:val="auto"/>
        </w:rPr>
        <w:t xml:space="preserve">cheme came into force </w:t>
      </w:r>
      <w:r w:rsidR="00261E12">
        <w:rPr>
          <w:color w:val="auto"/>
        </w:rPr>
        <w:t>on</w:t>
      </w:r>
      <w:r w:rsidRPr="00E929C9">
        <w:rPr>
          <w:color w:val="auto"/>
        </w:rPr>
        <w:t xml:space="preserve"> the 1</w:t>
      </w:r>
      <w:r w:rsidRPr="00E929C9">
        <w:rPr>
          <w:color w:val="auto"/>
          <w:vertAlign w:val="superscript"/>
        </w:rPr>
        <w:t>st</w:t>
      </w:r>
      <w:r w:rsidRPr="00E929C9">
        <w:rPr>
          <w:color w:val="auto"/>
        </w:rPr>
        <w:t xml:space="preserve"> April 2013, Central Government funds 50% of any Discretionary</w:t>
      </w:r>
      <w:r w:rsidR="00D47184">
        <w:rPr>
          <w:color w:val="auto"/>
        </w:rPr>
        <w:t xml:space="preserve">, Mandatory and Part </w:t>
      </w:r>
      <w:r w:rsidR="00D47184">
        <w:rPr>
          <w:color w:val="auto"/>
        </w:rPr>
        <w:lastRenderedPageBreak/>
        <w:t>Occupied</w:t>
      </w:r>
      <w:r w:rsidRPr="00E929C9">
        <w:rPr>
          <w:color w:val="auto"/>
        </w:rPr>
        <w:t xml:space="preserve"> Relief granted, with the City Council funding 40%, and the County </w:t>
      </w:r>
      <w:r w:rsidR="00B31E00">
        <w:rPr>
          <w:color w:val="auto"/>
        </w:rPr>
        <w:t xml:space="preserve">Council </w:t>
      </w:r>
      <w:r w:rsidRPr="00E929C9">
        <w:rPr>
          <w:color w:val="auto"/>
        </w:rPr>
        <w:t>funding 10%.</w:t>
      </w:r>
    </w:p>
    <w:p w:rsidR="00DC1C84" w:rsidRDefault="00DC1C84" w:rsidP="00DA0FB0">
      <w:pPr>
        <w:spacing w:after="0"/>
        <w:ind w:left="567" w:hanging="567"/>
        <w:rPr>
          <w:color w:val="auto"/>
        </w:rPr>
      </w:pPr>
    </w:p>
    <w:p w:rsidR="00DC1C84" w:rsidRPr="00E929C9" w:rsidRDefault="00DC1C84" w:rsidP="00DA0FB0">
      <w:pPr>
        <w:numPr>
          <w:ilvl w:val="0"/>
          <w:numId w:val="34"/>
        </w:numPr>
        <w:spacing w:after="0"/>
        <w:ind w:left="567" w:hanging="567"/>
        <w:rPr>
          <w:color w:val="auto"/>
        </w:rPr>
      </w:pPr>
      <w:r>
        <w:rPr>
          <w:color w:val="auto"/>
        </w:rPr>
        <w:t>Funding for other reliefs is by Section 31 grant.</w:t>
      </w:r>
    </w:p>
    <w:p w:rsidR="00635D75" w:rsidRPr="00E929C9" w:rsidRDefault="00635D75" w:rsidP="00DA0FB0">
      <w:pPr>
        <w:spacing w:after="0"/>
        <w:ind w:left="567" w:hanging="567"/>
        <w:rPr>
          <w:color w:val="auto"/>
        </w:rPr>
      </w:pPr>
    </w:p>
    <w:p w:rsidR="003F6780" w:rsidRPr="003F6780" w:rsidRDefault="00635D75" w:rsidP="00DA0FB0">
      <w:pPr>
        <w:numPr>
          <w:ilvl w:val="0"/>
          <w:numId w:val="34"/>
        </w:numPr>
        <w:ind w:left="567" w:hanging="567"/>
        <w:rPr>
          <w:color w:val="auto"/>
        </w:rPr>
      </w:pPr>
      <w:r w:rsidRPr="00E929C9">
        <w:rPr>
          <w:color w:val="auto"/>
        </w:rPr>
        <w:t xml:space="preserve">The current cost to the City Council of granting Discretionary Rate Relief is </w:t>
      </w:r>
      <w:r w:rsidRPr="0097682A">
        <w:rPr>
          <w:color w:val="auto"/>
        </w:rPr>
        <w:t>£18,</w:t>
      </w:r>
      <w:r w:rsidR="0097682A" w:rsidRPr="0097682A">
        <w:rPr>
          <w:color w:val="auto"/>
        </w:rPr>
        <w:t>745.79</w:t>
      </w:r>
      <w:r w:rsidRPr="00E929C9">
        <w:rPr>
          <w:color w:val="FF0000"/>
        </w:rPr>
        <w:t xml:space="preserve"> </w:t>
      </w:r>
      <w:r w:rsidR="00D47184" w:rsidRPr="00E929C9">
        <w:rPr>
          <w:color w:val="auto"/>
        </w:rPr>
        <w:t>however</w:t>
      </w:r>
      <w:r w:rsidR="00D47184">
        <w:rPr>
          <w:color w:val="auto"/>
        </w:rPr>
        <w:t>;</w:t>
      </w:r>
      <w:r w:rsidRPr="00E929C9">
        <w:rPr>
          <w:color w:val="auto"/>
        </w:rPr>
        <w:t xml:space="preserve"> this figure will fluctuate throughout the year with businesses ceasing to receive relief and new ones being awarded relief</w:t>
      </w:r>
      <w:r w:rsidR="00F96A82">
        <w:rPr>
          <w:color w:val="auto"/>
        </w:rPr>
        <w:t xml:space="preserve"> (Appendix 2)</w:t>
      </w:r>
      <w:r w:rsidR="00B31E00">
        <w:rPr>
          <w:color w:val="auto"/>
        </w:rPr>
        <w:t>.</w:t>
      </w:r>
    </w:p>
    <w:p w:rsidR="00635D75" w:rsidRPr="003F6780" w:rsidRDefault="00B54101" w:rsidP="00DA0FB0">
      <w:pPr>
        <w:numPr>
          <w:ilvl w:val="0"/>
          <w:numId w:val="34"/>
        </w:numPr>
        <w:ind w:left="567" w:hanging="567"/>
        <w:rPr>
          <w:color w:val="auto"/>
        </w:rPr>
      </w:pPr>
      <w:r w:rsidRPr="003F6780">
        <w:rPr>
          <w:color w:val="auto"/>
        </w:rPr>
        <w:t>In some cases, such as Relief for Public Toilets, Central Government are funding 100% of the Relief through a Section 3</w:t>
      </w:r>
      <w:r w:rsidR="00F948DC">
        <w:rPr>
          <w:color w:val="auto"/>
        </w:rPr>
        <w:t>1</w:t>
      </w:r>
      <w:r w:rsidRPr="003F6780">
        <w:rPr>
          <w:color w:val="auto"/>
        </w:rPr>
        <w:t xml:space="preserve"> grant</w:t>
      </w:r>
      <w:r w:rsidRPr="003F6780">
        <w:rPr>
          <w:color w:val="FF0000"/>
        </w:rPr>
        <w:t xml:space="preserve">. </w:t>
      </w:r>
      <w:r w:rsidRPr="003F6780">
        <w:rPr>
          <w:color w:val="auto"/>
        </w:rPr>
        <w:t>This was seen previously with support for Reliefs for Flooding and Retail properties as examples.</w:t>
      </w:r>
    </w:p>
    <w:p w:rsidR="00B54101" w:rsidRPr="001356F1" w:rsidRDefault="003F6780" w:rsidP="00DA0FB0">
      <w:pPr>
        <w:pStyle w:val="Heading1"/>
      </w:pPr>
      <w:r>
        <w:t>Legal Issues</w:t>
      </w:r>
    </w:p>
    <w:p w:rsidR="00B54101" w:rsidRDefault="00B54101" w:rsidP="00DA0FB0">
      <w:pPr>
        <w:pStyle w:val="ListParagraph"/>
        <w:numPr>
          <w:ilvl w:val="0"/>
          <w:numId w:val="34"/>
        </w:numPr>
        <w:tabs>
          <w:tab w:val="clear" w:pos="426"/>
        </w:tabs>
        <w:ind w:left="567" w:hanging="567"/>
      </w:pPr>
      <w:r>
        <w:t xml:space="preserve">The </w:t>
      </w:r>
      <w:r w:rsidR="00B31E00">
        <w:t>P</w:t>
      </w:r>
      <w:r>
        <w:t xml:space="preserve">olicy </w:t>
      </w:r>
      <w:r w:rsidR="00BF114E">
        <w:t xml:space="preserve">at Appendix 1 </w:t>
      </w:r>
      <w:r>
        <w:t xml:space="preserve">outlines the areas </w:t>
      </w:r>
      <w:r w:rsidR="00BF114E">
        <w:t xml:space="preserve">in which there is an element of </w:t>
      </w:r>
      <w:r>
        <w:t xml:space="preserve">local discretion </w:t>
      </w:r>
      <w:r w:rsidR="00BF114E">
        <w:t>together with</w:t>
      </w:r>
      <w:r>
        <w:t xml:space="preserve"> Oxford City Council’s approach to the various awards</w:t>
      </w:r>
      <w:r w:rsidR="00AF02D6">
        <w:t xml:space="preserve"> that can be made</w:t>
      </w:r>
      <w:r>
        <w:t>. T</w:t>
      </w:r>
      <w:r w:rsidR="00BF114E">
        <w:t xml:space="preserve">he Policy </w:t>
      </w:r>
      <w:r>
        <w:t xml:space="preserve"> has </w:t>
      </w:r>
      <w:r w:rsidR="00BF114E">
        <w:t xml:space="preserve">been drafted with </w:t>
      </w:r>
      <w:r>
        <w:t>due regard to:</w:t>
      </w:r>
    </w:p>
    <w:p w:rsidR="00B54101" w:rsidRDefault="003F6780" w:rsidP="003F6780">
      <w:pPr>
        <w:pStyle w:val="ListParagraph"/>
        <w:numPr>
          <w:ilvl w:val="0"/>
          <w:numId w:val="39"/>
        </w:numPr>
      </w:pPr>
      <w:r>
        <w:t>the Council’s wider financial positon and how it affects Council Tax payers</w:t>
      </w:r>
      <w:r w:rsidR="00BF114E">
        <w:t xml:space="preserve"> generally</w:t>
      </w:r>
      <w:r w:rsidR="00AF02D6">
        <w:t>;</w:t>
      </w:r>
    </w:p>
    <w:p w:rsidR="003F6780" w:rsidRDefault="003F6780" w:rsidP="003F6780">
      <w:pPr>
        <w:pStyle w:val="ListParagraph"/>
        <w:numPr>
          <w:ilvl w:val="0"/>
          <w:numId w:val="39"/>
        </w:numPr>
      </w:pPr>
      <w:r>
        <w:t>the organisations and businesses that currently receive or may apply for Relief in the future</w:t>
      </w:r>
      <w:r w:rsidR="00AF02D6">
        <w:t>; and</w:t>
      </w:r>
    </w:p>
    <w:p w:rsidR="00B1382E" w:rsidRDefault="00AF02D6" w:rsidP="00B1382E">
      <w:pPr>
        <w:pStyle w:val="ListParagraph"/>
        <w:numPr>
          <w:ilvl w:val="0"/>
          <w:numId w:val="39"/>
        </w:numPr>
      </w:pPr>
      <w:r>
        <w:t xml:space="preserve">the </w:t>
      </w:r>
      <w:r w:rsidR="003F6780">
        <w:t xml:space="preserve">funding </w:t>
      </w:r>
      <w:r>
        <w:t xml:space="preserve">that is </w:t>
      </w:r>
      <w:r w:rsidR="003F6780">
        <w:t xml:space="preserve">made available by Central Government to provide full financial support for the </w:t>
      </w:r>
      <w:r>
        <w:t xml:space="preserve">Council to </w:t>
      </w:r>
      <w:r w:rsidR="003F6780">
        <w:t>award  certain</w:t>
      </w:r>
      <w:r>
        <w:t xml:space="preserve"> categories of</w:t>
      </w:r>
      <w:r w:rsidR="003F6780">
        <w:t xml:space="preserve"> relief</w:t>
      </w:r>
    </w:p>
    <w:p w:rsidR="00635D75" w:rsidRPr="003F6780" w:rsidRDefault="003F6780" w:rsidP="00DA0FB0">
      <w:pPr>
        <w:pStyle w:val="ListParagraph"/>
        <w:numPr>
          <w:ilvl w:val="0"/>
          <w:numId w:val="34"/>
        </w:numPr>
        <w:tabs>
          <w:tab w:val="clear" w:pos="426"/>
        </w:tabs>
        <w:ind w:left="567" w:hanging="567"/>
      </w:pPr>
      <w:r w:rsidRPr="003F6780">
        <w:rPr>
          <w:color w:val="auto"/>
        </w:rPr>
        <w:t xml:space="preserve">The </w:t>
      </w:r>
      <w:r w:rsidR="00B31E00">
        <w:rPr>
          <w:color w:val="auto"/>
        </w:rPr>
        <w:t>P</w:t>
      </w:r>
      <w:r w:rsidRPr="003F6780">
        <w:rPr>
          <w:color w:val="auto"/>
        </w:rPr>
        <w:t xml:space="preserve">olicy also </w:t>
      </w:r>
      <w:r w:rsidR="00AF02D6">
        <w:rPr>
          <w:color w:val="auto"/>
        </w:rPr>
        <w:t>incorporates</w:t>
      </w:r>
      <w:r w:rsidR="00AF02D6" w:rsidRPr="003F6780">
        <w:rPr>
          <w:color w:val="auto"/>
        </w:rPr>
        <w:t xml:space="preserve"> </w:t>
      </w:r>
      <w:r w:rsidRPr="003F6780">
        <w:rPr>
          <w:color w:val="auto"/>
        </w:rPr>
        <w:t xml:space="preserve">the principle consideration </w:t>
      </w:r>
      <w:r w:rsidR="00AF02D6">
        <w:rPr>
          <w:color w:val="auto"/>
        </w:rPr>
        <w:t xml:space="preserve">that </w:t>
      </w:r>
      <w:r w:rsidRPr="003F6780">
        <w:rPr>
          <w:color w:val="auto"/>
        </w:rPr>
        <w:t xml:space="preserve">when an award </w:t>
      </w:r>
      <w:r w:rsidR="00F222DB">
        <w:rPr>
          <w:color w:val="auto"/>
        </w:rPr>
        <w:t xml:space="preserve">of </w:t>
      </w:r>
      <w:r w:rsidR="00F222DB" w:rsidRPr="003F6780">
        <w:rPr>
          <w:color w:val="auto"/>
        </w:rPr>
        <w:t>any</w:t>
      </w:r>
      <w:r w:rsidRPr="003F6780">
        <w:rPr>
          <w:color w:val="auto"/>
        </w:rPr>
        <w:t xml:space="preserve"> Relief </w:t>
      </w:r>
      <w:r w:rsidR="00AF02D6">
        <w:rPr>
          <w:color w:val="auto"/>
        </w:rPr>
        <w:t xml:space="preserve">is </w:t>
      </w:r>
      <w:r w:rsidRPr="003F6780">
        <w:rPr>
          <w:color w:val="auto"/>
        </w:rPr>
        <w:t xml:space="preserve">granted </w:t>
      </w:r>
      <w:r w:rsidR="00AF02D6">
        <w:rPr>
          <w:color w:val="auto"/>
        </w:rPr>
        <w:t xml:space="preserve">it </w:t>
      </w:r>
      <w:r w:rsidRPr="003F6780">
        <w:rPr>
          <w:color w:val="auto"/>
        </w:rPr>
        <w:t xml:space="preserve">is </w:t>
      </w:r>
      <w:r w:rsidR="00AF02D6">
        <w:rPr>
          <w:color w:val="auto"/>
        </w:rPr>
        <w:t xml:space="preserve">done </w:t>
      </w:r>
      <w:r w:rsidRPr="003F6780">
        <w:rPr>
          <w:color w:val="auto"/>
        </w:rPr>
        <w:t xml:space="preserve">in the best interests of the residents and taxpayers of </w:t>
      </w:r>
      <w:r w:rsidR="00F222DB" w:rsidRPr="003F6780">
        <w:rPr>
          <w:color w:val="auto"/>
        </w:rPr>
        <w:t>Oxford and</w:t>
      </w:r>
      <w:r w:rsidRPr="003F6780">
        <w:rPr>
          <w:color w:val="auto"/>
        </w:rPr>
        <w:t xml:space="preserve"> produces a local benefit</w:t>
      </w:r>
      <w:r w:rsidR="00B31E00">
        <w:rPr>
          <w:color w:val="auto"/>
        </w:rPr>
        <w:t>.</w:t>
      </w:r>
    </w:p>
    <w:p w:rsidR="00635D75" w:rsidRPr="00E929C9" w:rsidRDefault="003F6780" w:rsidP="00DA0FB0">
      <w:pPr>
        <w:shd w:val="clear" w:color="auto" w:fill="FFFFFF"/>
        <w:spacing w:line="0" w:lineRule="atLeast"/>
        <w:rPr>
          <w:rFonts w:cs="Arial"/>
          <w:b/>
        </w:rPr>
      </w:pPr>
      <w:r>
        <w:rPr>
          <w:rFonts w:cs="Arial"/>
          <w:b/>
        </w:rPr>
        <w:t>Risks</w:t>
      </w:r>
    </w:p>
    <w:p w:rsidR="00635D75" w:rsidRPr="00E929C9" w:rsidRDefault="00635D75" w:rsidP="00DA0FB0">
      <w:pPr>
        <w:numPr>
          <w:ilvl w:val="0"/>
          <w:numId w:val="34"/>
        </w:numPr>
        <w:shd w:val="clear" w:color="auto" w:fill="FFFFFF"/>
        <w:spacing w:before="120" w:after="0" w:line="0" w:lineRule="atLeast"/>
        <w:ind w:left="567" w:hanging="567"/>
        <w:rPr>
          <w:rFonts w:cs="Arial"/>
        </w:rPr>
      </w:pPr>
      <w:r w:rsidRPr="00E929C9">
        <w:rPr>
          <w:rFonts w:cs="Arial"/>
        </w:rPr>
        <w:t>If the scheme was changed significantly, there would be insufficient budget to meet the cost of granting Discretionary Rate Relief.</w:t>
      </w:r>
    </w:p>
    <w:p w:rsidR="00DA0FB0" w:rsidRDefault="00DA0FB0" w:rsidP="00DA0FB0">
      <w:pPr>
        <w:spacing w:after="0"/>
        <w:rPr>
          <w:rFonts w:cs="Arial"/>
          <w:b/>
          <w:color w:val="auto"/>
          <w:lang w:eastAsia="en-US"/>
        </w:rPr>
      </w:pPr>
    </w:p>
    <w:p w:rsidR="00635D75" w:rsidRPr="003F6780" w:rsidRDefault="003F6780" w:rsidP="00DA0FB0">
      <w:pPr>
        <w:rPr>
          <w:rFonts w:cs="Arial"/>
          <w:b/>
          <w:color w:val="auto"/>
          <w:lang w:eastAsia="en-US"/>
        </w:rPr>
      </w:pPr>
      <w:r>
        <w:rPr>
          <w:rFonts w:cs="Arial"/>
          <w:b/>
          <w:color w:val="auto"/>
          <w:lang w:eastAsia="en-US"/>
        </w:rPr>
        <w:t>Environmental Impact</w:t>
      </w:r>
    </w:p>
    <w:p w:rsidR="00635D75" w:rsidRPr="00E929C9" w:rsidRDefault="00635D75" w:rsidP="00DA0FB0">
      <w:pPr>
        <w:numPr>
          <w:ilvl w:val="0"/>
          <w:numId w:val="34"/>
        </w:numPr>
        <w:spacing w:after="0"/>
        <w:ind w:left="567" w:hanging="567"/>
        <w:rPr>
          <w:rFonts w:cs="Arial"/>
          <w:color w:val="auto"/>
          <w:lang w:eastAsia="en-US"/>
        </w:rPr>
      </w:pPr>
      <w:r w:rsidRPr="00E929C9">
        <w:rPr>
          <w:rFonts w:cs="Arial"/>
          <w:color w:val="auto"/>
          <w:lang w:eastAsia="en-US"/>
        </w:rPr>
        <w:t>There is no environmental impact from the granting of discretionary rate relief.</w:t>
      </w:r>
    </w:p>
    <w:p w:rsidR="00635D75" w:rsidRPr="00E929C9" w:rsidRDefault="00635D75" w:rsidP="00635D75">
      <w:pPr>
        <w:spacing w:after="0"/>
        <w:rPr>
          <w:rFonts w:cs="Arial"/>
          <w:color w:val="auto"/>
          <w:lang w:eastAsia="en-US"/>
        </w:rPr>
      </w:pPr>
    </w:p>
    <w:p w:rsidR="00635D75" w:rsidRPr="003F6780" w:rsidRDefault="003F6780" w:rsidP="00DA0FB0">
      <w:pPr>
        <w:rPr>
          <w:rFonts w:cs="Arial"/>
          <w:b/>
          <w:color w:val="auto"/>
          <w:lang w:eastAsia="en-US"/>
        </w:rPr>
      </w:pPr>
      <w:r>
        <w:rPr>
          <w:rFonts w:cs="Arial"/>
          <w:b/>
          <w:color w:val="auto"/>
          <w:lang w:eastAsia="en-US"/>
        </w:rPr>
        <w:t>Equalities</w:t>
      </w:r>
    </w:p>
    <w:p w:rsidR="00635D75" w:rsidRPr="00E929C9" w:rsidRDefault="00635D75" w:rsidP="00DA0FB0">
      <w:pPr>
        <w:numPr>
          <w:ilvl w:val="0"/>
          <w:numId w:val="34"/>
        </w:numPr>
        <w:spacing w:after="0"/>
        <w:ind w:left="567" w:hanging="567"/>
        <w:rPr>
          <w:rFonts w:cs="Arial"/>
          <w:color w:val="auto"/>
          <w:lang w:eastAsia="en-US"/>
        </w:rPr>
      </w:pPr>
      <w:r w:rsidRPr="00E929C9">
        <w:rPr>
          <w:rFonts w:cs="Arial"/>
          <w:color w:val="auto"/>
          <w:lang w:eastAsia="en-US"/>
        </w:rPr>
        <w:t>As the policy will consider every application on its merits, no impact assessment is necessary</w:t>
      </w:r>
    </w:p>
    <w:p w:rsidR="00D47184" w:rsidRPr="001356F1" w:rsidRDefault="00D47184"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r w:rsidR="00DE4376">
              <w:rPr>
                <w:b/>
              </w:rPr>
              <w:t xml:space="preserve"> </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E4376" w:rsidP="00A46E98">
            <w:r>
              <w:t>Tanya Bandekar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E4376" w:rsidP="00A46E98">
            <w:r>
              <w:t>Service Manager, Revenues and Benefits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E4376"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E4376" w:rsidP="00A46E98">
            <w:r>
              <w:t>01865 252281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E4376" w:rsidP="00A46E98">
            <w:pPr>
              <w:rPr>
                <w:rStyle w:val="Hyperlink"/>
                <w:color w:val="000000"/>
              </w:rPr>
            </w:pPr>
            <w:r>
              <w:rPr>
                <w:rStyle w:val="Hyperlink"/>
                <w:color w:val="000000"/>
              </w:rPr>
              <w:t>tbandekar@oxford.gov.uk</w:t>
            </w:r>
          </w:p>
        </w:tc>
      </w:tr>
      <w:tr w:rsidR="00DF093E" w:rsidRPr="001356F1"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E929C9" w:rsidRPr="00E929C9" w:rsidRDefault="00E929C9" w:rsidP="00E929C9">
      <w:pPr>
        <w:tabs>
          <w:tab w:val="left" w:pos="426"/>
        </w:tabs>
        <w:spacing w:after="0"/>
        <w:rPr>
          <w:color w:val="auto"/>
        </w:rPr>
      </w:pPr>
    </w:p>
    <w:sectPr w:rsidR="00E929C9" w:rsidRPr="00E929C9"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B0" w:rsidRDefault="00DA0FB0" w:rsidP="004A6D2F">
      <w:r>
        <w:separator/>
      </w:r>
    </w:p>
  </w:endnote>
  <w:endnote w:type="continuationSeparator" w:id="0">
    <w:p w:rsidR="00DA0FB0" w:rsidRDefault="00DA0F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7927o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E0" w:rsidRDefault="003863E0" w:rsidP="004A6D2F">
    <w:pPr>
      <w:pStyle w:val="Footer"/>
    </w:pPr>
    <w:r>
      <w:t>Do not use a footer or page numbers.</w:t>
    </w:r>
  </w:p>
  <w:p w:rsidR="003863E0" w:rsidRDefault="003863E0" w:rsidP="004A6D2F">
    <w:pPr>
      <w:pStyle w:val="Footer"/>
    </w:pPr>
  </w:p>
  <w:p w:rsidR="003863E0" w:rsidRDefault="003863E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E0" w:rsidRDefault="003863E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B0" w:rsidRDefault="00DA0FB0" w:rsidP="004A6D2F">
      <w:r>
        <w:separator/>
      </w:r>
    </w:p>
  </w:footnote>
  <w:footnote w:type="continuationSeparator" w:id="0">
    <w:p w:rsidR="00DA0FB0" w:rsidRDefault="00DA0FB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E0" w:rsidRDefault="00DA0FB0" w:rsidP="00D5547E">
    <w:pPr>
      <w:pStyle w:val="Header"/>
      <w:jc w:val="right"/>
    </w:pPr>
    <w:r>
      <w:rPr>
        <w:noProof/>
      </w:rPr>
      <w:drawing>
        <wp:inline distT="0" distB="0" distL="0" distR="0">
          <wp:extent cx="838200" cy="1120140"/>
          <wp:effectExtent l="0" t="0" r="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67C0181"/>
    <w:multiLevelType w:val="hybridMultilevel"/>
    <w:tmpl w:val="F932B7E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6E32AE"/>
    <w:multiLevelType w:val="multilevel"/>
    <w:tmpl w:val="72AA62E8"/>
    <w:lvl w:ilvl="0">
      <w:start w:val="1"/>
      <w:numFmt w:val="decimal"/>
      <w:lvlText w:val="%1."/>
      <w:lvlJc w:val="left"/>
      <w:pPr>
        <w:ind w:left="928"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nsid w:val="12CE2C6A"/>
    <w:multiLevelType w:val="hybridMultilevel"/>
    <w:tmpl w:val="C20A7576"/>
    <w:lvl w:ilvl="0" w:tplc="63587FA8">
      <w:start w:val="173"/>
      <w:numFmt w:val="decimal"/>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6333CB"/>
    <w:multiLevelType w:val="hybridMultilevel"/>
    <w:tmpl w:val="C818F340"/>
    <w:lvl w:ilvl="0" w:tplc="CC7C5FF8">
      <w:start w:val="1"/>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454D2E"/>
    <w:multiLevelType w:val="hybridMultilevel"/>
    <w:tmpl w:val="E3F49116"/>
    <w:lvl w:ilvl="0" w:tplc="C6C653D8">
      <w:start w:val="2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3D70E5"/>
    <w:multiLevelType w:val="hybridMultilevel"/>
    <w:tmpl w:val="E81CFE72"/>
    <w:lvl w:ilvl="0" w:tplc="8C342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8F01607"/>
    <w:multiLevelType w:val="multilevel"/>
    <w:tmpl w:val="72AA62E8"/>
    <w:lvl w:ilvl="0">
      <w:start w:val="1"/>
      <w:numFmt w:val="decimal"/>
      <w:lvlText w:val="%1."/>
      <w:lvlJc w:val="left"/>
      <w:pPr>
        <w:ind w:left="928"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457326"/>
    <w:multiLevelType w:val="multilevel"/>
    <w:tmpl w:val="72AA62E8"/>
    <w:lvl w:ilvl="0">
      <w:start w:val="1"/>
      <w:numFmt w:val="decimal"/>
      <w:lvlText w:val="%1."/>
      <w:lvlJc w:val="left"/>
      <w:pPr>
        <w:ind w:left="928"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5F76171"/>
    <w:multiLevelType w:val="multilevel"/>
    <w:tmpl w:val="72AA62E8"/>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1">
    <w:nsid w:val="782E58BD"/>
    <w:multiLevelType w:val="hybridMultilevel"/>
    <w:tmpl w:val="B998A404"/>
    <w:lvl w:ilvl="0" w:tplc="86248AAE">
      <w:start w:val="1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nsid w:val="798365C6"/>
    <w:multiLevelType w:val="multilevel"/>
    <w:tmpl w:val="E67CE66C"/>
    <w:numStyleLink w:val="StyleNumberedLeft0cmHanging075cm"/>
  </w:abstractNum>
  <w:num w:numId="1">
    <w:abstractNumId w:val="30"/>
  </w:num>
  <w:num w:numId="2">
    <w:abstractNumId w:val="37"/>
  </w:num>
  <w:num w:numId="3">
    <w:abstractNumId w:val="26"/>
  </w:num>
  <w:num w:numId="4">
    <w:abstractNumId w:val="21"/>
  </w:num>
  <w:num w:numId="5">
    <w:abstractNumId w:val="33"/>
  </w:num>
  <w:num w:numId="6">
    <w:abstractNumId w:val="39"/>
  </w:num>
  <w:num w:numId="7">
    <w:abstractNumId w:val="25"/>
  </w:num>
  <w:num w:numId="8">
    <w:abstractNumId w:val="23"/>
  </w:num>
  <w:num w:numId="9">
    <w:abstractNumId w:val="14"/>
  </w:num>
  <w:num w:numId="10">
    <w:abstractNumId w:val="18"/>
  </w:num>
  <w:num w:numId="11">
    <w:abstractNumId w:val="28"/>
  </w:num>
  <w:num w:numId="12">
    <w:abstractNumId w:val="27"/>
  </w:num>
  <w:num w:numId="13">
    <w:abstractNumId w:val="10"/>
  </w:num>
  <w:num w:numId="14">
    <w:abstractNumId w:val="42"/>
  </w:num>
  <w:num w:numId="15">
    <w:abstractNumId w:val="19"/>
  </w:num>
  <w:num w:numId="16">
    <w:abstractNumId w:val="11"/>
  </w:num>
  <w:num w:numId="17">
    <w:abstractNumId w:val="32"/>
  </w:num>
  <w:num w:numId="18">
    <w:abstractNumId w:val="12"/>
  </w:num>
  <w:num w:numId="19">
    <w:abstractNumId w:val="34"/>
  </w:num>
  <w:num w:numId="20">
    <w:abstractNumId w:val="20"/>
  </w:num>
  <w:num w:numId="21">
    <w:abstractNumId w:val="24"/>
  </w:num>
  <w:num w:numId="22">
    <w:abstractNumId w:val="15"/>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0"/>
  </w:num>
  <w:num w:numId="35">
    <w:abstractNumId w:val="29"/>
  </w:num>
  <w:num w:numId="36">
    <w:abstractNumId w:val="22"/>
  </w:num>
  <w:num w:numId="37">
    <w:abstractNumId w:val="41"/>
  </w:num>
  <w:num w:numId="38">
    <w:abstractNumId w:val="13"/>
  </w:num>
  <w:num w:numId="39">
    <w:abstractNumId w:val="31"/>
  </w:num>
  <w:num w:numId="40">
    <w:abstractNumId w:val="35"/>
  </w:num>
  <w:num w:numId="41">
    <w:abstractNumId w:val="16"/>
  </w:num>
  <w:num w:numId="42">
    <w:abstractNumId w:val="17"/>
  </w:num>
  <w:num w:numId="43">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B0"/>
    <w:rsid w:val="000117D4"/>
    <w:rsid w:val="000314D7"/>
    <w:rsid w:val="00035C05"/>
    <w:rsid w:val="00044D58"/>
    <w:rsid w:val="00045F8B"/>
    <w:rsid w:val="00046D2B"/>
    <w:rsid w:val="00056263"/>
    <w:rsid w:val="00064D8A"/>
    <w:rsid w:val="00064F82"/>
    <w:rsid w:val="00066510"/>
    <w:rsid w:val="00077523"/>
    <w:rsid w:val="000B5246"/>
    <w:rsid w:val="000C089F"/>
    <w:rsid w:val="000C3928"/>
    <w:rsid w:val="000C5E8E"/>
    <w:rsid w:val="000E096F"/>
    <w:rsid w:val="000E6733"/>
    <w:rsid w:val="000F4751"/>
    <w:rsid w:val="000F7245"/>
    <w:rsid w:val="0010524C"/>
    <w:rsid w:val="00111FB1"/>
    <w:rsid w:val="00113418"/>
    <w:rsid w:val="001356F1"/>
    <w:rsid w:val="00136994"/>
    <w:rsid w:val="0014128E"/>
    <w:rsid w:val="00150CB9"/>
    <w:rsid w:val="00151888"/>
    <w:rsid w:val="00161456"/>
    <w:rsid w:val="00170A2D"/>
    <w:rsid w:val="001808BC"/>
    <w:rsid w:val="00182B81"/>
    <w:rsid w:val="0018619D"/>
    <w:rsid w:val="001A011E"/>
    <w:rsid w:val="001A066A"/>
    <w:rsid w:val="001A13E6"/>
    <w:rsid w:val="001A5731"/>
    <w:rsid w:val="001B42C3"/>
    <w:rsid w:val="001C5D5E"/>
    <w:rsid w:val="001D1A3E"/>
    <w:rsid w:val="001D678D"/>
    <w:rsid w:val="001E03F8"/>
    <w:rsid w:val="001E1678"/>
    <w:rsid w:val="001E3376"/>
    <w:rsid w:val="001F09E1"/>
    <w:rsid w:val="002069B3"/>
    <w:rsid w:val="002329CF"/>
    <w:rsid w:val="00232F5B"/>
    <w:rsid w:val="00247C29"/>
    <w:rsid w:val="00260467"/>
    <w:rsid w:val="00261E12"/>
    <w:rsid w:val="00263EA3"/>
    <w:rsid w:val="00284F85"/>
    <w:rsid w:val="00290915"/>
    <w:rsid w:val="002A22E2"/>
    <w:rsid w:val="002C64F7"/>
    <w:rsid w:val="002E392A"/>
    <w:rsid w:val="002F41F2"/>
    <w:rsid w:val="00301BF3"/>
    <w:rsid w:val="0030208D"/>
    <w:rsid w:val="00323418"/>
    <w:rsid w:val="003357BF"/>
    <w:rsid w:val="00364FAD"/>
    <w:rsid w:val="0036738F"/>
    <w:rsid w:val="0036759C"/>
    <w:rsid w:val="00367AE5"/>
    <w:rsid w:val="00367D71"/>
    <w:rsid w:val="0038150A"/>
    <w:rsid w:val="003863E0"/>
    <w:rsid w:val="003B6E75"/>
    <w:rsid w:val="003B7DA1"/>
    <w:rsid w:val="003D0379"/>
    <w:rsid w:val="003D2574"/>
    <w:rsid w:val="003D4C59"/>
    <w:rsid w:val="003F4267"/>
    <w:rsid w:val="003F6780"/>
    <w:rsid w:val="00404032"/>
    <w:rsid w:val="0040736F"/>
    <w:rsid w:val="00412C1F"/>
    <w:rsid w:val="00421CB2"/>
    <w:rsid w:val="00423FEC"/>
    <w:rsid w:val="004268B9"/>
    <w:rsid w:val="00433B96"/>
    <w:rsid w:val="004440F1"/>
    <w:rsid w:val="004456DD"/>
    <w:rsid w:val="00446CDF"/>
    <w:rsid w:val="004521B7"/>
    <w:rsid w:val="00462AB5"/>
    <w:rsid w:val="00465EAF"/>
    <w:rsid w:val="004738C5"/>
    <w:rsid w:val="00491046"/>
    <w:rsid w:val="004A2AC7"/>
    <w:rsid w:val="004A6D2F"/>
    <w:rsid w:val="004B0E73"/>
    <w:rsid w:val="004C2887"/>
    <w:rsid w:val="004D2626"/>
    <w:rsid w:val="004D6E26"/>
    <w:rsid w:val="004D77D3"/>
    <w:rsid w:val="004E2959"/>
    <w:rsid w:val="004F20EF"/>
    <w:rsid w:val="0050321C"/>
    <w:rsid w:val="0054712D"/>
    <w:rsid w:val="00547EF6"/>
    <w:rsid w:val="005570B5"/>
    <w:rsid w:val="00567E18"/>
    <w:rsid w:val="005750BC"/>
    <w:rsid w:val="00575F5F"/>
    <w:rsid w:val="00581805"/>
    <w:rsid w:val="00585F76"/>
    <w:rsid w:val="005A34E4"/>
    <w:rsid w:val="005B17F2"/>
    <w:rsid w:val="005B7FB0"/>
    <w:rsid w:val="005C1110"/>
    <w:rsid w:val="005C35A5"/>
    <w:rsid w:val="005C577C"/>
    <w:rsid w:val="005D0621"/>
    <w:rsid w:val="005D1E27"/>
    <w:rsid w:val="005D2A3E"/>
    <w:rsid w:val="005E022E"/>
    <w:rsid w:val="005E5215"/>
    <w:rsid w:val="005F7F7E"/>
    <w:rsid w:val="00614693"/>
    <w:rsid w:val="00623C2F"/>
    <w:rsid w:val="00633578"/>
    <w:rsid w:val="00635D75"/>
    <w:rsid w:val="00637068"/>
    <w:rsid w:val="00642676"/>
    <w:rsid w:val="00650811"/>
    <w:rsid w:val="00661D3E"/>
    <w:rsid w:val="00672FDB"/>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052B"/>
    <w:rsid w:val="00737B93"/>
    <w:rsid w:val="00745BF0"/>
    <w:rsid w:val="007615FE"/>
    <w:rsid w:val="0076655C"/>
    <w:rsid w:val="007742DC"/>
    <w:rsid w:val="00784E52"/>
    <w:rsid w:val="00791437"/>
    <w:rsid w:val="007B0C2C"/>
    <w:rsid w:val="007B278E"/>
    <w:rsid w:val="007B3351"/>
    <w:rsid w:val="007C5C23"/>
    <w:rsid w:val="007D45D1"/>
    <w:rsid w:val="007E2A26"/>
    <w:rsid w:val="007F1D22"/>
    <w:rsid w:val="007F2348"/>
    <w:rsid w:val="00803F07"/>
    <w:rsid w:val="0080749A"/>
    <w:rsid w:val="00821FB8"/>
    <w:rsid w:val="00822ACD"/>
    <w:rsid w:val="00855C66"/>
    <w:rsid w:val="00871EE4"/>
    <w:rsid w:val="008B293F"/>
    <w:rsid w:val="008B7371"/>
    <w:rsid w:val="008D3DDB"/>
    <w:rsid w:val="008F573F"/>
    <w:rsid w:val="009034EC"/>
    <w:rsid w:val="00904042"/>
    <w:rsid w:val="0093067A"/>
    <w:rsid w:val="00941C60"/>
    <w:rsid w:val="00943324"/>
    <w:rsid w:val="00966D42"/>
    <w:rsid w:val="00971689"/>
    <w:rsid w:val="00973E90"/>
    <w:rsid w:val="00975B07"/>
    <w:rsid w:val="0097682A"/>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AF02D6"/>
    <w:rsid w:val="00B1382E"/>
    <w:rsid w:val="00B31E00"/>
    <w:rsid w:val="00B500CA"/>
    <w:rsid w:val="00B54101"/>
    <w:rsid w:val="00B54A9B"/>
    <w:rsid w:val="00B86314"/>
    <w:rsid w:val="00BA1C2E"/>
    <w:rsid w:val="00BC200B"/>
    <w:rsid w:val="00BC4756"/>
    <w:rsid w:val="00BC69A4"/>
    <w:rsid w:val="00BE0680"/>
    <w:rsid w:val="00BE305F"/>
    <w:rsid w:val="00BE6043"/>
    <w:rsid w:val="00BE7BA3"/>
    <w:rsid w:val="00BF114E"/>
    <w:rsid w:val="00BF5682"/>
    <w:rsid w:val="00BF7B09"/>
    <w:rsid w:val="00C16622"/>
    <w:rsid w:val="00C20A95"/>
    <w:rsid w:val="00C2692F"/>
    <w:rsid w:val="00C27200"/>
    <w:rsid w:val="00C3207C"/>
    <w:rsid w:val="00C400E1"/>
    <w:rsid w:val="00C41187"/>
    <w:rsid w:val="00C63C31"/>
    <w:rsid w:val="00C72607"/>
    <w:rsid w:val="00C757A0"/>
    <w:rsid w:val="00C760DE"/>
    <w:rsid w:val="00C82630"/>
    <w:rsid w:val="00C85B4E"/>
    <w:rsid w:val="00C907F7"/>
    <w:rsid w:val="00C95DEF"/>
    <w:rsid w:val="00CA2103"/>
    <w:rsid w:val="00CB6B99"/>
    <w:rsid w:val="00CE4C87"/>
    <w:rsid w:val="00CE544A"/>
    <w:rsid w:val="00D11E1C"/>
    <w:rsid w:val="00D160B0"/>
    <w:rsid w:val="00D167A6"/>
    <w:rsid w:val="00D17F94"/>
    <w:rsid w:val="00D223FC"/>
    <w:rsid w:val="00D26D1E"/>
    <w:rsid w:val="00D47184"/>
    <w:rsid w:val="00D474CF"/>
    <w:rsid w:val="00D5547E"/>
    <w:rsid w:val="00D614C2"/>
    <w:rsid w:val="00D869A1"/>
    <w:rsid w:val="00DA0FB0"/>
    <w:rsid w:val="00DA413F"/>
    <w:rsid w:val="00DA4584"/>
    <w:rsid w:val="00DA614B"/>
    <w:rsid w:val="00DB64A5"/>
    <w:rsid w:val="00DC1C84"/>
    <w:rsid w:val="00DC3060"/>
    <w:rsid w:val="00DE0FB2"/>
    <w:rsid w:val="00DE4376"/>
    <w:rsid w:val="00DE60E0"/>
    <w:rsid w:val="00DF093E"/>
    <w:rsid w:val="00E01F42"/>
    <w:rsid w:val="00E206D6"/>
    <w:rsid w:val="00E3366E"/>
    <w:rsid w:val="00E35FD7"/>
    <w:rsid w:val="00E52086"/>
    <w:rsid w:val="00E543A6"/>
    <w:rsid w:val="00E60479"/>
    <w:rsid w:val="00E61D73"/>
    <w:rsid w:val="00E73684"/>
    <w:rsid w:val="00E818D6"/>
    <w:rsid w:val="00E87F7A"/>
    <w:rsid w:val="00E929C9"/>
    <w:rsid w:val="00E96BD7"/>
    <w:rsid w:val="00EA0DB1"/>
    <w:rsid w:val="00EA0EE9"/>
    <w:rsid w:val="00EB1387"/>
    <w:rsid w:val="00EB1C92"/>
    <w:rsid w:val="00ED1E2A"/>
    <w:rsid w:val="00ED52CA"/>
    <w:rsid w:val="00ED5860"/>
    <w:rsid w:val="00EE35C9"/>
    <w:rsid w:val="00F05ECA"/>
    <w:rsid w:val="00F222DB"/>
    <w:rsid w:val="00F3566E"/>
    <w:rsid w:val="00F375FB"/>
    <w:rsid w:val="00F41AC1"/>
    <w:rsid w:val="00F4367A"/>
    <w:rsid w:val="00F445B1"/>
    <w:rsid w:val="00F45CD4"/>
    <w:rsid w:val="00F66DCA"/>
    <w:rsid w:val="00F74F53"/>
    <w:rsid w:val="00F7606D"/>
    <w:rsid w:val="00F81670"/>
    <w:rsid w:val="00F82024"/>
    <w:rsid w:val="00F948DC"/>
    <w:rsid w:val="00F95BC9"/>
    <w:rsid w:val="00F96A82"/>
    <w:rsid w:val="00FA624C"/>
    <w:rsid w:val="00FD0FAC"/>
    <w:rsid w:val="00FD1DFA"/>
    <w:rsid w:val="00FD4966"/>
    <w:rsid w:val="00FE57DC"/>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Meetings\10%20-%2013.02.18\National%20Non%20Domestic%20Rates%20Discretionary%20Relief%20Policy%202018-22\Final\CEB%20report%20-%20NDR%20Discretionary%20Rate%20Relief%20Scheme%202018-2022%20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1927-6A13-44BA-8AFB-164E66CD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NDR Discretionary Rate Relief Scheme 2018-2022 EG</Template>
  <TotalTime>0</TotalTime>
  <Pages>3</Pages>
  <Words>976</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2</cp:revision>
  <cp:lastPrinted>2015-07-03T13:50:00Z</cp:lastPrinted>
  <dcterms:created xsi:type="dcterms:W3CDTF">2018-02-02T12:28:00Z</dcterms:created>
  <dcterms:modified xsi:type="dcterms:W3CDTF">2018-02-02T12:28:00Z</dcterms:modified>
</cp:coreProperties>
</file>